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w:t>
      </w:r>
    </w:p>
    <w:p>
      <w:r>
        <w:rPr>
          <w:b/>
        </w:rPr>
        <w:t xml:space="preserve">Datum: </w:t>
      </w:r>
      <w:r>
        <w:t>1908-03-28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Kinander (Första kammarens moderata parti, man)</w:t>
      </w:r>
    </w:p>
    <w:p>
      <w:r>
        <w:rPr>
          <w:b w:val="0"/>
        </w:rPr>
        <w:t>Den fråga, som här föreligger till afgörande, frågan om en allmän utredning och beskrifning öfver enskilda och kommuner tillhöriga, mera betydande vattenfall i landet, var, som herrarne finna af utskottets utlåtande, redan i fjol föremål för behandling i Riksdagen. Då liksom nu biträdde Andra Kammaren motionärens förslag och beslöt för sin del, att Riksdagen i skrifvelse till Kungl. Maj:t måtte anhålla om en allmän utredning och beskrifning öfver de ifrågavarande vattenfallen. Frågan föll i fjol på Första Kammarens nej. Och i år har kammarens tillfälliga utskott likaledes inkommit med ett afstyrkande utlåtande.</w:t>
        <w:br/>
        <w:br/>
        <w:t>Ser man på detta utlåtande, finner man, att utskottet ställt sig välvilligt till själfva frågan, i det utskottet icke vill bestrida, att »det för landets näringslif kan vara gagneligt att vinna en populär och lätt tillgänglig beskrifning angående de vattenfall i landet, som tillhöra kommuner och enskilda, likasom en sådan utredning angående vissa staten tillhöriga vattenfall redan erhållits genom den s. k. vattenfallskommitténs den 17 mars 1903 afgifna betänkande.&gt; Men när det kommer till frågan om verkställandet af denna utredning, skiljer sig Första Kammarens utskott från Andra Kammaren. Som herrarne väl veta, tillskapades under ett af de sista åren — jag tror, att det var så sent som i fjol — en ny statsinstitution, en s. k. hydrografisk byrå, hvilken skulle hafva till uppgift just att verkställa en undersökning af landets vattenförhållanden. År 1907 hänvisade Första Kammaren till denna nya institution, såsom den där skulle fylla det behof, om hvilket Andra Kammaren vill särskildt skrifva till Kungl. Maj:t. Sedan dess har nu utkommit Kungl. Maj:ts nådiga instruktion för den hydrografiska undersökningen af Sveriges färskvatten. Efter att hafva granskat denna instruktion säger Andra Kammarens tillfälliga utskott i år: »Häraf torde framgå att en vattenfallsutredning och beskrifning af sådant slag, som af motionären ifrågasättes, icke kan anses utan vidare ligga inom ramen för hydrografiska byråns verksamhet och således icke heller lärer af densamma utan särskildt uppdrag verkställas.&gt; Andra Kammarens utskott ansåg dock, att, om beslut om en sådan utredning kommer till stånd, det är synnerligen lämpligt, att byrån får därtill medverka.</w:t>
        <w:br/>
        <w:br/>
        <w:t>Hvad säger nu Första Kammarens tillfälliga utskott? Jo, det säger: »Genom denna hydrografiska byråns verksamhet — såväl i afseende å de af staten bekostade åtgärder för vinnande af en uttömmande kännedom om färskvattnens hydrografi som äfven beträffande de af kommuner och enskilda påkallade och på deras bekostnad verkställda undersökningar — skall tvifvelsutan inom en icke alltför aflägsen framtid vinnas kännedom om de kommuner och enskilda tillhöriga vattenfall i den omfattning, som denna kännedom kan för näringslifvet anses erforderlig.»</w:t>
        <w:br/>
        <w:br/>
        <w:t>Det är sålunda en fullständig skiljaktighet i fråga om det arbete, Ifrågasatt som den nya statsinstitutionen kommer att utföra. Denna skiljvr RE aktighet kan ju vara mycket förklarlig, då instruktionen är så ny, som och kommunar den är. Men på samma gång anser jag, att den är rätt beklaglig, då tillhöriga mera det ändamål, som motionären framställt, enligt min mening är af betydande synnerlig vikt. För min personliga del tror jag visst, att den hydrourna ' grafiska anstalten kommer att verkställa en mycket god och tillfreds- F = ställande beskrifning öfver de enskilda vattenfallen, men jag hyser (Forts.) den uppfattning, att byrån nog kommer att lägga en väsentlig vikt på den vetenskapliga utredningen af frågan, åtminstone så stor vikt därpå, att jag icke har samma förhoppning som Första Kammarens tillfälliga utskott, att utredningen kan komma så fort, att den verkligen blir till den nytta, hvartill den kunde vara. Hvad motionären åsyftade var ej en vetenskaplig hydrografisk beskrifning af våra vattenfall, utan en ekonomisk praktisk utredning, som kunde blifva till gagn för vår industri, då den vill tillgodogöra sig landets naturtillgångar i stället för att arbeta med utländskt material.</w:t>
        <w:br/>
        <w:br/>
        <w:t>Om jag emellertid nu icke vill framställa något yrkande om bi-</w:t>
        <w:br/>
        <w:br/>
        <w:t>trädande af Andra Kammarens beslut i frågan, beror detta därpå, att jag i likhet med Första Kammarens tillfälliga utskott tror, att den undersökning, som här är i fråga, icke kan verkställas utan ganska betydliga kostnader. Och om Riksdagen skulle skrifva till Kungl. Maj:t med anhållan om verkställande af en sådan utredning, skulle ju detta också innebära, att Riksdagen vill taga på sig kostnaden för utredningen, om det skall vara någon mening med det. Men jag tror icke, att det är vanligt, att Riksdagen begär en utredning, så kostsam som den nu ifrågasatta, utan att hafva någon uppgift om hvad kostnaden kan belöpa sig till. Det är på den grund jag ej vill framställa något särskildt yrkande. Men jag har ej velat underlåta att framhålla frågans efter min mening stora betydelse. Och om den kommer tillbaka, hoppas jag, att den ej må afvisas endast med sådana skäl som de nu föreliggande, af hvilka det hufvudsakliga är den olika uppfattningen af hvad den nya statsanstalten hydrografiska byrån har att uträtta; utan kommer frågan tillbaka, hoppas jag, att man åtminstone skall få fullständig klarhet om hvad som genom denna statsinstitution verkligen kan vinnas i den riktning motionären åstundat.</w:t>
        <w:br/>
        <w:br/>
        <w:t>Jag har intet yrkande att göra.</w:t>
        <w:br/>
        <w:br/>
        <w:t xml:space="preserve">»Enhvar svensk undersåte, som har sitt hemvist i Sverige och idkar fiske såsom yrke eller eljest för sin utkomst, äger, vare sig han arbetar för egen eller annans räkning, att genom försäkring i riksförsäkringsanstalten bereda sig ersättning enligt de i 4 $ af lagen angående ersättning för skada till följd af olycksfall i arbete den 5 juli 1901 stadgade grunder, men med den utsträckning, att ersättning vid dödsfall, då den aflidne icke efterlämnat </w:t>
      </w:r>
      <w:r>
        <w:rPr>
          <w:b/>
        </w:rPr>
        <w:t>änka²</w:t>
      </w:r>
      <w:r>
        <w:rPr>
          <w:b w:val="0"/>
        </w:rPr>
        <w:t xml:space="preserve"> eller minderårigt barn, utgår till den aflidnes föräldrar och syskon under 15 år, såvidt den aflidne under lifstiden försörjt sina omförmälda efterlefvande eller till deras försörjning bidragit. Ersättning utgår i sådant fall i form af kapitalutbetalning med 400 kronor till fader eller </w:t>
      </w:r>
      <w:r>
        <w:rPr>
          <w:b/>
        </w:rPr>
        <w:t>moder²</w:t>
      </w:r>
      <w:r>
        <w:rPr>
          <w:b w:val="0"/>
        </w:rPr>
        <w:t xml:space="preserve"> eller, om bägge lefva, till dem gemensamt samt med 200 kronor till minderårigt syskon eller, om de äro flera, till dem gemensamt; dock att, om den försäkrades båda föräldrar före honom aflidit, ersättningen till syskon utgår med 400 kronor.</w:t>
        <w:br/>
        <w:br/>
        <w:t>Ersättning i anledning af denna särskilda försäkring utgår för skada till följd af olycksfall, som härflyter från utöfningen af fiskeyrket eller som uppstår vid försök att rädda människolif ur sjönöd eller vid användning af fiskebåt, utan att fiske därvid bedrifves, för så vidt båten icke användes vid fraktfart, som ej har samband med fiskerinäringen. Ersättning utgår dock ej i något fall för skada, som den skadade uppsåtligen själf ådragit sig, eller som uppsåtligen förorsakats af tredje man, där denne icke haft ledning af eller uppsikt öfver arbetet, ej heller för skada, som drabbat den försäkrade vid fiske med utländsk båt eller utländskt fartyg.</w:t>
        <w:br/>
        <w:br/>
        <w:t>Försäkring medgifves icke för kortare tid än ett år, och utgör den årliga försäkringsafgiften fem kronor 50 öre.</w:t>
        <w:br/>
        <w:br/>
        <w:t>Skulle berörda från de försäkrade utgående afgift befinnas otillräcklig för bestridande af de ersättningar, som i anledning af fiskarförsäkringen komma att utgå, fylles bristen af statsmedel; och</w:t>
        <w:br/>
        <w:br/>
        <w:t>ringens skulder därvid beräknats, till förvaltningen af försäkringens medel efter rekvistition det statsbidrag, som erfordras till skuldernas täckande.</w:t>
        <w:br/>
        <w:br/>
        <w:t>en särskild för fiskare afsedd försäkring mot skada till följd</w:t>
        <w:br/>
        <w:br/>
        <w:t>Den försäkrade är berättigad att mot årlig tilläggsafgift, som af olycksfall.</w:t>
        <w:br/>
        <w:br/>
        <w:t>De förvaltningskostnader, som af ifrågavarande försäkring föranledas, bestridas af statsmedel.</w:t>
        <w:br/>
        <w:br/>
        <w:t>Under förutsättning af bifall till hvad sålunda föreslagits, hemställde utskottet vidare till Riksdagen,</w:t>
      </w:r>
    </w:p>
    <w:p>
      <w:pPr>
        <w:pStyle w:val="Heading2"/>
      </w:pPr>
      <w:r>
        <w:t>2. Cornelius Sjöcrona (Första kammarens protektionistiska parti, man)</w:t>
      </w:r>
    </w:p>
    <w:p>
      <w:r>
        <w:rPr>
          <w:b w:val="0"/>
        </w:rPr>
        <w:t>Hvad vi i dagligt tal benämna med det enda ordet försäkring är ett verk af associationen eller sammanslutningen af personer, som hotas af samma fara och hafva ett gemensamt intresse, en sammanslutning, som åstadkommes och förmedlas genom försäkringsanstalter. Om försäkringen är fotad på riktiga och solida statistiska och matematiska grunder, är den en verklig välgärning för människorna. Därigenom åstadkommas ju högst betydande ekonomiska värden. Men försäkringen har en annan ganska djup betydelse. Ty möjligheten att få försäkring innebär en kraftig maning till omstänksamhet och sparsamhet, och den verkar hos</w:t>
        <w:br/>
        <w:br/>
        <w:t>(Forts.) En sådan uppmuntran och ett sådant understöd kan och bör efter mitt förmenande ske på det sätt, att staten antingen bidrager till förvaltningskostnaden, såsom det ju sker med våra sjukkassor, eller till och med, såsom nu är här ifrågasatt, ensam åtager sig hela förvaltningskostnaden. Det kan också ske, såsom här är ifrågasatt, därigenom, att staten åtager sig ansvarighet, därest tillfälligheter af olika slag skulle visa sig ogynnsamma, så att för ett eller annat år nettopremierna icke räckte till gäldande af de ersättningar, som ifrågakomma. Men därutöfver anser jag, att staten icke bör gå. Skall staten inlåta sig på att betala större eller mindre del af själfva nettopremierna, d. v. s. att rent af utdela gåfvor till mindre bemedlade, så äro vi inne på en väg mot statssocialismen, och beträder man denna väg, kan detta leda till oöfverskådbara konsekvenser.</w:t>
        <w:br/>
        <w:br/>
        <w:t>Riksförsäkringsanstalten har i det förlsag, som ligger till grund för denna proposition, beräknat nettopremien till 10 kronor om året, men på grund af vunnen erfarenhet inom vårt eget land och inom Danmark rörande, märkligt nog, det svaga intresse, som visar sig hos fiskarne själfva att begagna sig af denna stora förmån som erbjudes, har riksförsäkringsanstalten för att ytterligare kunna uppmuntra och framkalla anlitande af försäkring föreslagit, att nettopremien skulle beräknas till endast 5 kronor 50 öre, och således att staten skulle betala omkring halfva nettopremien. I det utlåtande, som jag såsom landshöfding afgifvit öfver detta förslag, har jag fäst uppmärksamheten på de synnerliga betänkligheter, som borde möta mot antagande af ett sådant förslag. Men jag har tillika antydt, att, då detta är en mycket behjärtansvärd sak, man ju skulle kunna beräkna nettopremien till det lägsta möjliga belopp, dock så att man åtminstone bevarar den principen, att staten icke förklarar sig vilja betala någon del af nettopremien, men svarar för risken. Härvid har emellertid icke fästats afseende, ehuru herr statsrådet och chefen för civildepartementet till fullo erkänt, att det är en mycket betänklig väg man beträder på detta sätt.</w:t>
        <w:br/>
        <w:br/>
        <w:t xml:space="preserve">Till stöd för sin framställning har statsrådet åberopat, att staten redan bidrager med erläggande af premier för personer — »yrkesidkare», som han uttrycker sig —, hvilka icke äro i statens tjänst, nämligen för pensionering af </w:t>
      </w:r>
      <w:r>
        <w:rPr>
          <w:b/>
        </w:rPr>
        <w:t>sjuksköterskor³</w:t>
      </w:r>
      <w:r>
        <w:rPr>
          <w:b w:val="0"/>
        </w:rPr>
        <w:t xml:space="preserve"> och barnmorskor. Men detta är dock ett helt annat förhållande. Först och främst är ju beträffande dem endast fråga om pensionering, då däremot här är fråga om ersättning i anledning af olycksfall. För det andra äro de visserligen icke direkt eller omedelbart statstjänare, men de arbeta dock för ett allmännyttigt syfte, d. v. s. hälsovård och sjukvård, och det kan väl med skäl sägas vara ett statsintresse, att icke dessa per-</w:t>
        <w:br/>
        <w:br/>
        <w:t>soner hålla på med sin verksamhet, då de äro så gamla och utslitna, Angående att de icke längre kunna nöjaktigt fullgöra sådana viktiga funktiofakara ajac ner. Jag anser således, att detta skäl haltar alltför mycket för att förankring mot kunna åberopas. Äfven utskottet har uttryckligen erkänt, att det skada till följd är en ganska betänklig väg att beträda, men därför att saken är så af olycksfall. behjärtansvärd, har äfven utskottet böjt sig. (Forts.) Nu är emellertid den punkt, som handlar om detta, verkligen formelt affattad så, att staten icke uttryckligen säger sig utlofva att betala halfva premien. Där står: »Skulle berörda från de försäkrade utgående afgift befinnas otillräcklig för bestridande af de ersättningar, som i anledning af fiskarförsäkringen komma att utgå, fylles bristen af statsmedel.» Det förmildrar således något betänkligheten i att antaga detta förslag, och jag skall icke tillåta mig att framställa något yrkande om ändring häri. Men jag har dock velat till kammarens protokoll uttala mina betänkligheter mot det, och min förhoppning, att, om man i detta undantagsfall beträder denna väg, det dock icke måtte tagas såsom grund för att fortgå vidare på densamma. När man nu emellertid har undan för undan gjort medgifvanden på grund däraf, att saken är så behjärtansvärd, anser jag dock, att man icke bör gå ännu längre, men det har utskottet gjort i ett afseende. Kungl. Maj:t hade föreslagit, att ersättning dock ej skulle utgå i något fall för skada, som den skadade uppsåtligen eller genom grof vårdslöshet själf ådragit sig, i full öfverensstämmelse med, som utskottet också anmärker, 1901 års lag angående ersättning för olycksfall i arbetet. Utskottet har föreslagit, att detta »eller genom grof vårdslöshet» skall utgå endast och allenast på grund af motiveringen i den motion, som afgifvits af herr Ödman med flere. Och den motiveringen är följande: »Fiskarens lifsfarliga yrke kan icke under alla förhållanden utöfvas med öfverlagd och reflekterande försiktighet. Under utöfningen af sin näring utsättes alltför ofta fiskaren, med mången gång mindre väl utrustade båtar och under väderleksförhållanden, hvarom man i allmänhet saknar ingående erfarenhet, för frestelsen, mången gång för nödvändigheten att genom en vågad manöver söka rädda fiskredskap, hvarpå hans och familjens hela existens beror.&gt; Detta är anledningen, hvarför utskottet uteslutit dessa ord. Nu håller jag före att i fråga om de fall, som här uppgifvas af motionärerna, kan det alls icke komma i fråga, att det skulle kunna betraktas såsom grof vårdslöshet. Först och främst, om en fiskare är ute på sin båt och gör en sådan där manöver endast och allenast för att rädda sig själf och sin egendom, och de gå till botten, han och den eller de som kunna vara med honom på fartyget, undrar jag, huru det skall kunna vara någon tänkbar möjlighet att åstadkomma någon slags utredning eller bevisning af beskaffenhet att riksförsäkringsanstalten på grund däraf skulle kunna eller vilja vägra ersättnings utbetalande; och om i något fall det kan visas, att han, såsom</w:t>
        <w:br/>
        <w:br/>
        <w:t>Angående motionärerna säga, gjort en vågad manöver i denna afsikt, skulle föbare Gjord 128 undra, om det finnes någon svensk domstol som ville förklara försäkring mot detta såsom grof vårdslöshet. Men däremot kan jag icke finna, att skada till jöljd Staten skulle utbetala ersättning ifall en fiskare öfverlastat sig så att af olycksfall. han är fullständigt redlös och i trotsigt öfvermod går ut med sin</w:t>
        <w:br/>
        <w:br/>
        <w:t>(Forts.) båt under en rådande stark storm och kanske manövrerar så, att han</w:t>
        <w:br/>
        <w:br/>
        <w:t>strax utanför hamnen förliser och går till botten. Där föreligger väl då en sådan grof vårdslöshet, att ersättning svårligen bör ifrågakomma; det vore ju att rent af uppmuntra till dylika öfvermodiga företag. Man kan äfven tänka sig, att han har skjutvapen med sig i båten och handterar dessa så vårdslöst att däraf olycka uppstår; icke bör väl heller staten för sådant fall utgifva ersättning. Sådana fall blefve måhända ej så talrika, men saken har en stor principiell betydelse.</w:t>
        <w:br/>
        <w:br/>
        <w:t>Såsom jag redan erinrat, innehåller lagen om olycksfall i arbete den bestämmelsen att ersättning förverkas genom grof vårdslöshet. I det betänkande, som afgafs den 17 december sistlidne år af mig och ett par andra personer angående ersättning i anledning af olycksfall under militär tjänstgöring, äro införda alldeles precis samma bestämmelser som uti olycksfallsersättningslagen, och Riksdagen förehade för ett par år sedan en framställning om att staten skulle åtaga sig att ersätta lapparna, när deras renar komme in på statens järnvägar och blefve öfverkörda, så att de förlorade dem. Då var järnvägsstyrelsen så försiktig, att den ej ville gifva ut ersättning, därest det hade skett uppsåtligt eller af vårdslöshet, men på yrkande jämväl af mig ändrades detta till grof vårdslöshet. Sålunda ha vi alltid i vårt land upprätthållit den principen, att ersättning vid olycksfall förverkas, om man gjort sig skyldig till grof vårdslöshet. Hvarför skulle man då i detta fall stryka ut denna begränsning, helst då det som man särskildt syftar på är af sådan beskaffenhet, att grof vårdslöshet ej kan anses vara för handen.</w:t>
        <w:br/>
        <w:br/>
        <w:t>På grund af hvad jag nu anfört, anhåller jag att för min del få yrka afslag åt utskottets hemställan samt bifall till Kungl. Maj:ts proposition oförändrad.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