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1079</w:t>
      </w:r>
    </w:p>
    <w:p>
      <w:r>
        <w:rPr>
          <w:b/>
        </w:rPr>
        <w:t xml:space="preserve">Datum: </w:t>
      </w:r>
      <w:r>
        <w:t>1908-04-04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Henning Gezelius von Scheele (–, man)</w:t>
      </w:r>
    </w:p>
    <w:p>
      <w:r>
        <w:rPr>
          <w:b w:val="0"/>
        </w:rPr>
        <w:t>Herr talman! För sex år sedan hade jag tillfälle att yttra mig i denna fråga, och samma ståndpunkt, jag då intog, intar jag än i dag, blott med ännu mer stadgad öfvertygelse.</w:t>
        <w:br/>
        <w:br/>
        <w:t>En egendomlig tillfällighet har gjort, att jag å nyo får samma heder, som häromdagen, att uppträda mot en synnerligen aktad medlem uti kammaren, hvilken jag dristar kalla kollega, eftersom hans lifgärning ligger så nära den, som har varit och delvis fortfarande är min. Det kan ju icke förnekas, att man i en fråga, sådan som den föreliggande, i Riksdagen bar att utgå ifrån de nationalekonomiska intressena. Men visserligen måste vi väl alla tillika erkänna, att utgångspunkten får lof att sökas djupare än uti ett omedelbart tillgodoseende utaf önskningar och förmenta behof, som uti den närvarande tiden förefinnas. Den föregående talaren är ju historiker, och om än icke i samma grad, så vågar jag dock göra anspråk på att äfven äga någon befogenhet att bedöma denna sak ur historisk synpunkt.</w:t>
        <w:br/>
        <w:br/>
        <w:t xml:space="preserve">Historien är ju folkens </w:t>
      </w:r>
      <w:r>
        <w:rPr>
          <w:b/>
        </w:rPr>
        <w:t>lärarinna³</w:t>
      </w:r>
      <w:r>
        <w:rPr>
          <w:b w:val="0"/>
        </w:rPr>
        <w:t xml:space="preserve"> och fostrarinna, och hvad är det, som historien lär oss med hänsyn till det nätionalekonomiska hufvudintresset, rätt fattadt? Rätt fattadt, sade jag; ty det är dock något annat och mer än ett tillfälligt intresse hos individerna. Det är staten, som i första hand afses, då man talar om nationalekonomi, ehuru visserligen individen sedermera hämtar nytta utaf det, som är statens sannskyldiga väl. Och staten, hvarom vi så ofta tala, är ingalunda allenast summan och sammanfattningen af enskilda personer i ett land, utan staten är själf en moralisk personlighet eller en personlig makt. Det gäller då att klargöra för sig, huru den nationella anda, som hos ett folk bildar grundvalen för den enskildes lycka, skall bli sådan, som är i enlighet med nationalekonomiens grundprinciper i allmänhet och det särskilda folkets egendomliga karaktär.</w:t>
        <w:br/>
        <w:br/>
        <w:t>Hvad vidkommer det förra, nämligen de allmänna syn-</w:t>
        <w:br/>
        <w:br/>
        <w:t>punkterna, så vet jag knappast någon som i det afseendet på ett mera träffande och koncist sätt utttyckt dem än den utaf utskottet på sidan 7 citerade franske författaren Charles Dupin, då han säger: »Två mot hvarandra kämpande makter ligga i strid med hvarandra om folkens och staternas framgång eller förfall: arbetet är den ena, tilliten till slumpen den andra; arbetet, som endast vill köpa välstånd och lycka för ett pris af möda, tålamod, omsorg och sparsamhet, och slumpens ande, som begär ägodelar utan arbete, som sätter sin stolthet i brist på förutseende och som bereder sig ett nöje af faran och spelet med aflägsna möjligheter.» Enligt min fasta öfvertygelse gifver historien obetingadt sitt utslag till förmån för det förstnämnda alternativet. Redan i gamla tider, innan kristendomen kommit med sin världsomskapande lära om det goda såsom den största makten i världen till det ondas öfvervinnande, anade romarne detta och hade gifvit ett allmängiltigt uttryck däråt med de bekanta orden: Honestum utile, d. v. s. det rätta är dock det, som i längden visar sig vara det nyttiga.</w:t>
        <w:br/>
        <w:br/>
        <w:t>Se vi nu särskildt på det svenska folket, undrar jag, om icke den uppfattningen af detta folk, hvilken jag funnit vara rådande i den nya världen hos dess mest framstående och ledande män, är den riktiga, nämligen att vi svenskar äro mer ideellt anlagda än hvad fallet är med någon annan känd nation. Förråda vi denna svenskhetens innebörd, gå vi därmed ock miste om det, som i själfva verket utgör grunden för vår storhet, icke blott i den tid som varit, utan helt visst äfven för den tid som kommer. Månne ej just detta förhållande, att åtskilliga bland oss tyckas gå mer och mer åt det hållet, att penningen för dem blir i högre grad lyckans grundval än vidhållandet af det rätta, på samma gång antyder ett tillbakagående i svensk lifsåskådning och ett hot med hänsyn till vårt folks framtid? Skulle vi verkligen, mina herrar, vilja vara med om att på den nu ifrågasatta vägen bidraga till främjande af den beklagliga tidsriktning, som plägar orätt benämnas praktisk, men som vid sitt sannskyldiga namn kallas materialism?</w:t>
        <w:br/>
        <w:br/>
        <w:t>Jag vet ej något ord, som i våra dagar missbrukas så mycket som ordet praktisk, då man identifierar det med materialistisk. Praktiska vilja vi ju alla vara, och vi kunna ej begära, att någon skall tillägga oss denna beteckning, utan att vi göra skäl därför. Men att vara praktisk innebär ingalunda att låta ändamålet helga medlen, utan endast att man gör sig reda för, hvilket det mål är, till hvilket man bör sträfva, och finna ut samt veta att i handling omsätta de medel, som föra därhän. Efter min mening var aposteln Paulus en mycket praktisk man; historien visar, att få haft en sådan blick för det verkliga lifvet, som den mannen hade. På sitt språk uttryckte han antikens grundsats om det rätta såsom det enda verkligt nyttiga med de bekanta orden,</w:t>
        <w:br/>
        <w:br/>
        <w:t>att gudsfruktan är nyttig till allt, med uttrycklig förklaring, att det icke blott gäller ett kommande lif, utan äfven det närvarande. Ja, just i detta ligger rätta medlet för förverkligandet af vår bestämmelse eller hvad man kallar lifvets lycka ingalunda i någon nervös öfverretning, sådan som spelpassionen är ägnad att framkalla, utan i den sedliga kraft, hvilken vi ej böra sky något offer för att hos svenska folket stärka.</w:t>
        <w:br/>
        <w:br/>
        <w:t>Det är godt att hafva åsikter, men det är ännu viktigare att hafva tnsikter och att hafva dessa grundade så, att man icke behöfver låta sin öfvertygelse växla hvarken med dagarna eller med åren, och min lifliga förvissning är, att vi göra väl i att blifva vid hvad vi under flera föregående riksdagar här i kammaren bekänt oss till med hänsyn till den fråga, hvarom debatten nu rör sig.</w:t>
        <w:br/>
        <w:br/>
        <w:t>Jag ber, herr talman, att få tillstyrka utskottets hemställan.</w:t>
      </w:r>
    </w:p>
    <w:p>
      <w:pPr>
        <w:pStyle w:val="Heading2"/>
      </w:pPr>
      <w:r>
        <w:t>2. Karl Warburg (Liberala samlingspartiet, man)</w:t>
      </w:r>
    </w:p>
    <w:p>
      <w:r>
        <w:rPr>
          <w:b w:val="0"/>
        </w:rPr>
        <w:t>Jag skulle icke besvärat kammaren ytterligare en gång, om jag icke i någon mån blifvit utmanad, men jag skall bemöda mig om att yttra mig så kort som möjligt är och som min vana brukar vara, när jag ej är skyldig att föra ett utskotts talan. Jag hade ej väntat, att en ärad talare på göteborgsbänken skulle förebrå mig, att jag yttrat mig långt och ordrikt, då samme ärade talare själf icke i allmänhet brukar vara så rädd för ordrikedom.</w:t>
        <w:br/>
        <w:br/>
        <w:t>Den ärade hufvudmotionären angrep utskottet, därför att detta anmärkt mot det sätt, på hvilket motionärerna i bilagan citerat länsstyrelsernas utlåtanden, och han uppläste ånyo citaten, men afbröt på för honom lämpliga ställen. Det är en bra märkvärdig uppfattning, som erinrar om det sätt, hvarpå en bokförläggare en gång i en puff citerade en bokanmälan. Det var nämligen fråga om en bok — innehållande en samling aforismer, om hvilken det hade stått i en tidning — Aftonbladet tror jag — ungefär följande: »Man måste antingen äga ett stort snille eller besitta en stor lifserfarenhet för att kunna utgifva ett sådant arbete som herr X. Herr X äger emellertid icke någotdera af detta.» Detta citerades på följande sätt i en annons af bokförläggaren: &gt;»Man måste antingen äga ett stort snille eller besitta en stor lifserfarenhet för att kunna utgifva ett sådant arbete som herr X&gt;. (Aftonbladet).</w:t>
        <w:br/>
        <w:br/>
        <w:t>På samma sätt citera motionärerna ett par af länsstyrelsernas utlåtanden: de anföra ett stycke, men taga ej med den reservation, som kommer omedelbart efter. Det är alldeles sant, att det står så som motionärerna hafva sagt, och de hafva tryckt af det ordagrant, men jag vill då fråga herr Lyckholm, om ej utskottet har alldeles rätt, när det säger följande: »I den bilaga som åtföljt motionen uppgifves, såsom ofvan nämnts, att af de tolf länsstyrelser, som tillfrågats, — — — skulle sju hafva mer eller</w:t>
        <w:br/>
        <w:br/>
        <w:t>mindre ifrigt förordat ett inhemskt statslotteri&gt;, samt därefter uppräkna, hvilka dessa sju länsstyrelser skulle vara, och vidare yttra: &gt;»Men denna uppgift är vilseledande» — — — »Afgjordt förorda nämligen fyra af de tolf hörda länsstyrelserna inrättande af penninglotterier, nämligen Östergötlands, Malmöhus, Kalmar, Alfsborgs län, och en femte länsstyrelse, Göteborgs och Bohus län, framhåller detta som en utväg, men tillägger »om betänkligheterna mot inrättande af ett sådant i vårt land låta sig öfvervinnas». Sedan kommer följande. Blekinge länsstyrelse förordar visserligen penninglotterier, i det att den yttrar: » Att afsevärda kapitalbelopp lämna riket för att hamna i utländska lotterier är visst, och lika säkert torde det bästa medlet att i möjligaste mån inskränka dessa penningförsändningar till utlandet vara, att ett svenskt penninglotteri under statens kontroll och under dess garanti inrättades», men länsstyrelsen fortsätter följande, som motionens bilaga uteslutit: »Skälen mot inrättandet af ett dylikt lotteri kunna dock måhända vara så starka, att de utesluta lämpligheten af en sådan åtgärd. Kungl. Maj:ts befallningshafvande anser sig emellertid för närvarande sakna anledning att ingå i närmare granskning härutinnan, då frågan i detta ärende endast gäller svenskars deltagande i danska statslotteriet.»</w:t>
        <w:br/>
        <w:br/>
        <w:t>Nu frågar jag, om någon människa kan säga, att detta är ett mer eller mindre ifrigt förordande från Konungens befallningshafvandes sida, när länsstyrelsen ställer sig så pass tveksamt och därtill yttryckligen säger, att Konungens befallningshafvande icke har anledning att närmare ingå i pröfning af denna fråga.</w:t>
        <w:br/>
        <w:br/>
        <w:t>På samma sätt förhåller det sig med Hallands länsstyrelse. Den dåvarande länsstyrelsen, som bestod af landssekreteraren och landskamreraren, yttrar först mycket riktigt det som motionärerna citerat: »Landshöfdingeämbetet anser sig böra påpeka, hurusom det icke torde lida något tvifvel, att icke en ganska verksam åtgärd för motarbetandet af de utländska penninglotteriernas menliga inflytande i Sverige vore inrättandet af ett svenskt statslotteri», men fortsätter: »Meningarna om lämpligheten af ett sådant lotteri synas dock vara ganska delade, och om äfven medgifvas måste, att de penningar, som nu strömma ut ur landet för de utländska penninglotterierna, skulle, därest ett svenskt statslotteri inrättades, komma svenska statsverket till godo, synes dock å andra sidan ganska mycken fog finnas för det åskådningssätt, enligt hvilket ett penninglotteri, såsom uppsugande medel från många håll och till stor del från folk i små omständigheter men återgifvande medel endast åt ett fåtal slumpvis och således stundom åt mindre behöfvande, måste anses förkastligt och i nationalekonomiskt afseende till och med skadligt så till vida som det bortskymmer insikten om, att det dock hufvudsakligast är genom arbete, som nya kapitaler skapas och redan befintliga sådana bibehållas och förkofras.» Detta hafva motionärerna uteslutit. Sedan kommer läns-</w:t>
        <w:br/>
        <w:br/>
        <w:t>styrelsen in på, att ett sätt att motverka spelandet på penninglotterier vore folkupplysning om lotteriernas skadlighet, men anser, att det just icke skulle tjäna någonting till, då staten ger licens t. ex. till ett penninglotteri för bekostandet af ett teaterhus.</w:t>
        <w:br/>
        <w:br/>
        <w:t>Kan nu den länsstyrelse, som då fungerade, sägas ansluta sig till den meningen, att enda botemedlet vore inrättandet af ett svenskt statslotteri eller som det heter »mer eller mindre ifrigt&gt; förordat detta.?</w:t>
        <w:br/>
        <w:br/>
        <w:t>Jag kan verkligen säga, att jag likaväl som ett par af motionärerna sysselsatt mig med historisk forskning, men det måste jag säga, att detta knappast är ett riktigt sätt att använda källskrifter så, som motionärerna hafva gjort. Jag tror icke, att de ärade motionärerna, som hafva lärjungar att undervisa, lära dem att på detta sätt begagna urkunder.</w:t>
        <w:br/>
        <w:br/>
        <w:t>Den ärade talaren på göteborgsbänken framhöll för öfrigt mot utskottets sätt att referera motionerna åtskilligt. Ja, jag kan gärna medgifva, att det varit lämpligare att uppskjuta de små parentetiska anmärkningarna till efteråt, men det är också fördelaktigt att icke onödigt förlänga en utredning genom att upprepa saker.</w:t>
        <w:br/>
        <w:br/>
        <w:t>Alldeles omöjligt är att inse det förklenliga mot motionärerna i den anmärkningen, att generalkonsul Berencreutz framträdt som motståndare till penninglotterierna, eller att den uppsats, som förekommit i en tidning, icke vore någon ämbetsskrifvelse. Det är dock en ganska viktig sak, att detta uttalande endast afgifvits i en insändare till en tidning och icke i en ämbetsskrifvelse, som afgifves under ämbetsmannaansvar. Jag har anledning att säga detta, därför att det för mig påpekats från en framstående ämbetsman på konsulatområdet.</w:t>
        <w:br/>
        <w:br/>
        <w:t>Jag skulle ytterligare vilja anmärka ett par saker mot den ärade talaren, som näst före den siste hade ordet. Han talade om den spänning och den glädje, som fyller tomrummet för dessa, hvilka hafva ett enformigt arbete, och detta vore fallet med spelet på lotterier. Men om denna glädje skall köpas därmed, att man pantsätter sina tillhörigheter och inskränker sin brödföda, så anser jag den glädjen alltför dyrköpt, att staten bör understödja den. Vidare talade han blott om den glädje, som vinnes, när man köper en förhoppning. Jag vill då fråga: hur många gäckas ej i sina förhoppningar emot dem, som få sina förhoppningar tillfredsställda?</w:t>
        <w:br/>
        <w:br/>
        <w:t>Den af mig anförda danska nationalekonomen ger följande skildring — märk väl, att detta skrifver han för sitt eget lands befolkning, som känner till förhållandena och således kan kontrollera uppgifterna. Han säger: »När man på en af dessa dragningsdagar går genom Köpenhamns gator, undgår man ej att lägga märke till en feberaktig oro. Öfver hela staden utropas dragningslistor. Småtidningarna hafva en strykande afsättning och i portar</w:t>
        <w:br/>
        <w:br/>
        <w:t xml:space="preserve">och gatubörn stå unga och gamla spelare af båda könen ifrigt böjda öfver listorna med de utdragna numren. Men iakttager man nogare dessa hopar, möter en bedröflig syn. Barn utan strumpor och skor, trasiga, bleka </w:t>
      </w:r>
      <w:r>
        <w:rPr>
          <w:b/>
        </w:rPr>
        <w:t>kvinnor¹</w:t>
      </w:r>
      <w:r>
        <w:rPr>
          <w:b w:val="0"/>
        </w:rPr>
        <w:t>, unga män och gubbar i paltor täfla om att få dragningslistan. Och ha de ett ögonblick fått den i de febrilt darrande händerna, kasta de den med en suck ifrån sig: »Det är alltid de andra som vinna. Lyckan kommer aldrig till mig».</w:t>
        <w:br/>
        <w:br/>
        <w:t>Ar detta nu någon »glädje» i ett tomt och fattigt lif; är det icke snarare bekymmer? Och bör staten uppmuntra och framkalla dylika tillstånd?</w:t>
        <w:br/>
        <w:br/>
        <w:t>Slutligen kan jag icke underlåta att, när den ärade talaren på norrlandsbänken nu plötsligt uppträder som en riddare för en motion till förmån för inrättandet af ett permanent svenskt penninglotteri, som bland annat föreslås skola användas mot tuberkulos, erinra honom därom, att år 1904 inlämnades här i kammaren ett förslag om beviljandet af ett större anslag till tuberkulosvården med uttrycklig afsikt att därigenom hindra upprättandet af ett lotteri just för det ändamål, som hufvudmotionärerna här framhållit. Denna motion var undertecknad af 138 ledamöter samt frambars å deras vägnar just af herr Georg Kronlund.</w:t>
        <w:br/>
        <w:br/>
        <w:t>(ee Jag ber, herr talman, att fortfarande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