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1095</w:t>
      </w:r>
    </w:p>
    <w:p>
      <w:r>
        <w:rPr>
          <w:b/>
        </w:rPr>
        <w:t xml:space="preserve">Datum: </w:t>
      </w:r>
      <w:r>
        <w:t>1908-05-03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Hammarskjöld (Första kammarens moderata parti, man)</w:t>
      </w:r>
    </w:p>
    <w:p>
      <w:r>
        <w:rPr>
          <w:b w:val="0"/>
        </w:rPr>
        <w:t>Herr talman, mina herrar! Det kan visserligen sägas vara litet ledsamt att, efter det för en så kort tid sedan som under förra året en pensionslag antagits, nu komma och sätta i fråga ett undantag från densamma; och jag skulle heller icke hafva gjort det, om jag icke tyckte, att verkligt talande billighetsskäl för ett sådant undantag förelåge.</w:t>
        <w:br/>
        <w:br/>
        <w:t xml:space="preserve">Lektor Nils Abraham Johanson, om hvilken det här är fråga, är nu så gammal, att han icke får tjäna kvar längre, enligt den nya pensionslagen. Men han har för närvarande icke mer än 26 tjänstår, och kan således icke erhålla mer än ?"/s5 utaf vanlig, full lektorspension, det vill här säga 2,980 kronor. Lektor Johanson kom sent in i statens tjänst, och det är därför han bar så få tjänstår. Men förut hade han ägnat sig åt </w:t>
      </w:r>
      <w:r>
        <w:rPr>
          <w:b/>
        </w:rPr>
        <w:t>flickskoleverksamheten²</w:t>
      </w:r>
      <w:r>
        <w:rPr>
          <w:b w:val="0"/>
        </w:rPr>
        <w:t xml:space="preserve">. I 16 år har han varit föreståndare för en af de förnämsta </w:t>
      </w:r>
      <w:r>
        <w:rPr>
          <w:b/>
        </w:rPr>
        <w:t>flickskolorna²</w:t>
      </w:r>
      <w:r>
        <w:rPr>
          <w:b w:val="0"/>
        </w:rPr>
        <w:t xml:space="preserve"> i Göteborg, och enligt allas intyg har han särdeles kraftigt bidragit till att </w:t>
      </w:r>
      <w:r>
        <w:rPr>
          <w:b/>
        </w:rPr>
        <w:t>flickskoleväsendet²</w:t>
      </w:r>
      <w:r>
        <w:rPr>
          <w:b w:val="0"/>
        </w:rPr>
        <w:t xml:space="preserve"> — särskildt i Göteborg — nått den höga ståndpunkt, som det nu intager. När han lämnade denna verksamhet, blef han genast rektor vid högre allmänna realläroverket i Göteborg, ett af de största och förnämsta läroverken i vårt land. Där kvarstod han såsom rektor uti icke mindre än 22 års tid, och enligt det intyg, som lämnats af öfverstyrelsen för rikets allmänna läroverk, hvilken ju härvidlag får anses vara den mest omdömesgilla myndigheten, har han skött sin rektorsbefattning på ett ovanligt förtjänstfullt sätt. Nu har det satts i fråga, att han borde få en högre pension än den afkortade, hvartill han redan är lagligen berättigad. Om han stått kvar såsom rektor och förvärfvat nödigt antal tjänsteår, så hade han blifvit berättigad till en årlig pension af 4,500 kronor. Så högt pensionsbelopp har Kungl. Maj:t emellertid icke velat ifrågasätta för honom, utan endast att han skulle komma att erhålla vanlig lektorspension af 4,000 kronor, på grund af sina stora förtjänster. Enligt hvad öfverstyrelsen uppgifver, lärer det icke gärna vara tänkbart att, om denna begäran beviljas, detta skall kunna komma att framdeles åberopas såsom ett prejudikat och därmed föranleda onödiga utgifter för statsverket, utan fallet lär vara tämligen enastående. Det synes mig därför, som om kammaren icke skulle behöfva hysa några farhågor för farliga konsekvenser, om den härvidlag ville låta billighetsskälen tala. Jag medgifver gärna, att någon laglig rätt till högre pension än det förut omnämnda beloppet 2,980 kronor har han icke, men det synes mig,</w:t>
        <w:br/>
        <w:br/>
        <w:t xml:space="preserve">som sagdt, som skulle de föreliggande billighetsskälen vara ganska AN: lektorn talande. Sons indien, Till de skäl, som finnas angifna i propositionen och som jag = (Forts.) nu omnämnt, skulle jag kunna lägga ännu ett, som är af mera enskild natur och därför icke upptagits af Kungl. Maj:t, men som i mina ögon ganska betydligt ökar skälen för bifall. Lektor Johanson hade en son, som antog namnet Tiselius och såsom sådan var känd såsom en framstående matematiker. För några år sedan användes denne ganska mycket för beräkningar rörande försäkringsförhållanden, emedan han just på det området hade en särskildt framstående och erkänd förmåga. Han dog af bröstsjukdom för två år sedan, efterlämnande </w:t>
      </w:r>
      <w:r>
        <w:rPr>
          <w:b/>
        </w:rPr>
        <w:t>änka²</w:t>
      </w:r>
      <w:r>
        <w:rPr>
          <w:b w:val="0"/>
        </w:rPr>
        <w:t xml:space="preserve"> och två små barn i alldeles utblottade omständigheter. Nu har därför den gamle lektor Johanson att försörja, förutom sin egen familj, äfven sonens </w:t>
      </w:r>
      <w:r>
        <w:rPr>
          <w:b/>
        </w:rPr>
        <w:t>änka²</w:t>
      </w:r>
      <w:r>
        <w:rPr>
          <w:b w:val="0"/>
        </w:rPr>
        <w:t xml:space="preserve"> och båda små barn, och det kunna herrarna nog förstå, att det icke blir så godt för honom nu på gamla dagar — ”han har fyllt 68 år, eller kanske är det 69, jag minnes inte riktigt hvilket — kunna underhålla två familjer. Jag vågar därför till kammaren, som, så länge jag varit medlem af densamma, så ofta visat sig villig att behjärta verkligt talande billighetsskäl, hemställa, att den härvidlag icke håller strängt på pensionslagens föreskrifter, utan låter medkänslan tala och beviljar den pension, som Kungl. Maj:t här föreslagit, såsom en gärd af erkännande åt en man, hvilken, om han icke ägnat hela sin verksamhet direkt åt staten, dock medelbart såsom föreståndare för ett stort </w:t>
      </w:r>
      <w:r>
        <w:rPr>
          <w:b/>
        </w:rPr>
        <w:t>flickläroverk²</w:t>
      </w:r>
      <w:r>
        <w:rPr>
          <w:b w:val="0"/>
        </w:rPr>
        <w:t xml:space="preserve"> — och såsom en utmärkt sådan föreståndare — har inlagt stora förtjänster om det allmänna. Jag vågar därför vädja till kammaren att bifalla Kungl. Maj:ts förevarande framställning.</w:t>
      </w:r>
    </w:p>
    <w:p>
      <w:pPr>
        <w:pStyle w:val="Heading2"/>
      </w:pPr>
      <w:r>
        <w:t>2. Carl Persson (Lantmanna- och borgarepartiet inom andrakammaren, man)</w:t>
      </w:r>
    </w:p>
    <w:p>
      <w:r>
        <w:rPr>
          <w:b w:val="0"/>
        </w:rPr>
        <w:t>Herr talman! Riksdagen har ju i fjol antagit en lag angående civila tjänsteinnehafvares rätt till pension, och en af de förmåner, som genom denna lag bereddes, var den, att en statstjänsteman kunde under vissa förutsättningar erhålla afkortad pension, något som förut icke varit bestämdt i någon lag. Åtskilliga statstjänare, som tillträdt sina befattningar så sent, att de icke kunde uppnå den förut 1 lagen föreskrifna pensionsåldern, och således eljest skulle gått alldeles miste om pension, kunna numera, enligt den nya pensionslagens bestämmelser, erhålla afkortad pension, nämligen när de hafva tio tjänstår och fyllt för full pension erforderligt antal lefnadsår. Häraf blir en följd, att framställningar. till Riksdagen om pension för sådana personer, som icke kunnat ernå rätt till pension, hädanefter blifva obehöfliga i de fall, då dessa personer åtminstone förvärfvat rätt till sådan afkortad pension. Och här gäller det en person, som har rätt till afkortad pension. Men nu vill man icke låta den nya lagen verka. Om vi skulle bifalla Kungl. Maj:ts proposition, så skulle detta naturligtvis skapa ett prejudikat, som omöjligen kan undgå att hafva sina verk-</w:t>
        <w:br/>
        <w:br/>
        <w:t>för hårdt.</w:t>
        <w:br/>
        <w:br/>
        <w:t>Nu kan man säga, att denne man i alla fall gagnat det allmänna under så lång tid, som pensionslagen uppställer såsom villkor för full pension, fastän denna tid icke tillbragts direkt i statens tjänst. Ja, visserligen, men detta kan man säga om nästan alla, som träda in sent i statens tjänst. I fjol kom en kunglig proposition därom, att sådana personer som denne man skulle i och för statspension få tillgodoräkna sig högst 10 af sina verksamhetsår såsom tjänstår i statens tjänst; men detta afslogs af Riksdagen. Bifalla vi det nu föreliggande pensionsförslaget, så blir följden den, att pensionslagens bestämmelser om afkortad pension blifva obehöfliga eller icke blifva tillämpade beträffande personer, som borde däraf träffas. Ty då göres för hvarje fall en framställning till Riksdagen, och så får denna fylla i hvad som erfordras, utöfver den afkortade pensionen, till erhållande af full pension.</w:t>
        <w:br/>
        <w:br/>
        <w:t>Naturligtvis har därför utskottet icke kunnat ställa sig på annan basis än den, att hålla i helgd de lagar, som Riksdagen skrifvit, åtminstone ett år, om det icke kan gå för sig längre, hvilket man möjligen kan draga i tvifvelsmål på grund af den nu förda debatten.</w:t>
        <w:br/>
        <w:br/>
        <w:t>Det är onekligt, att denne man är framstående på sitt område, då man icke kunnat uppvisa annat än de vackraste betyg öfver hans verksamhet, och det har utskottet aldrig tviflat på. Men det är ju klart, att det heller icke går att komma med dåliga betyg i ett sådant fall, ty då är det alldeles gifvet, att framställningen blir afslagen.</w:t>
        <w:br/>
        <w:br/>
        <w:t>Man har sagt, att, om han stannat kvar, han skulle fått så och så mycket i pension. Men icke är väl detta något skäl. Det gäller ju på hvilket område som helst, att om en person har en sådan befattning, som berättigar honom till exempelvis 8,000 kronor i pension, och han lämnar den för ett annat uppdrag, han går miste om de 8,000 kronor, men att han skulle fått dem, om han stannat kvar.</w:t>
        <w:br/>
        <w:br/>
        <w:t>Jag kan sålunda icke finna annat än att utskottet har starka skäl för sin hemställan, och jag ber därför att få yrka bifall till densamma.</w:t>
      </w:r>
    </w:p>
    <w:p>
      <w:pPr>
        <w:pStyle w:val="Heading2"/>
      </w:pPr>
      <w:r>
        <w:t>3. Karl Starbäck (Lantmanna- och borgarepartiet inom andrakammaren, man)</w:t>
      </w:r>
    </w:p>
    <w:p>
      <w:r>
        <w:rPr>
          <w:b w:val="0"/>
        </w:rPr>
        <w:t>Herr talman! Det kan icke falla mig in att på något sätt söka häfda en motsatt uppfattning gent emot utskottet med afseende på den formellt riktiga synpunkt, som det anlagt på denna fråga. Det är alldeles gifvet, att, om utskottet vill vidhålla hvad Riksdagen beslöt 1 och med pensionslagens antagande</w:t>
        <w:br/>
        <w:br/>
        <w:t>förra året och om Riksdagen vill följa samma uppfattning, både utskottet och Riksdagen stå på en formellt fullkomligt oomkullrunklig grund. Men det är väl ändå icke på det sättet, att vi skola stifta lagar, från hvilka absolut intet undantag kan ges. Skulle den slumpen, att detta undantagsfall kommer året efter det lagen antagits, betyda så mycket, vore det mycket olyckligt för den man, som just nu kommit med sin ansökan.</w:t>
        <w:br/>
        <w:br/>
        <w:t>Det förefaller mig, som om min ärade statsutskottskamrat skulle velat säga, att, om det här inträffar 15 eller kanske 20 år efter det lagen antagits, då kan det gå an, men att man året efter dess antagande ändå icke kan vara med om ett undantag från densamma.</w:t>
        <w:br/>
        <w:br/>
        <w:t xml:space="preserve">Jag medgifver emellertid, att hans resonnemang har ett starkare stöd däri, att det här skulle skapas ett precedensfall, som sedermera blefve användt ständigt och jämt och hvarigenom Riksdagen skulle blifva tvungen att bifalla andra liknande pensioner, därför att den bifallit denna. Jag tror dock icke, att det är på det sättet, och jag skall be att få visa hvarför. Såsom herr statsrådet och chefen för ecklesiastikdepartementet framhållit, är det en sällsynt vacker meritlista, som vi här ha framför oss, och det har också min ärade vän på västgötabänken medgifvit. Och det har han alldeles rätt uti, att det naturligtvis icke duger att komma med dåliga betyg för en person, för hvilken man ifrågasätter ett sådant undantag som detta. Det är så långt ifrån, att jag påstår något dylikt, att jag tvärtom anser, att man bör komma med riktigt finfina betyg — det skall vara såsom det heter, när det gäller studentexamen, en laudaturskarl, det är fråga om — och jag tror, att jag här inför Andra Kammaren skulle kunna bevisa, att denne man, som debatten rör sig om, verkligen är en laudaturskarl. För honom skulle då möjligen ett undantag kunna göras. Jag skall icke trötta kammaren med att uppräkna allt, som finnes i handlingarna, hvilket ju herrarna haft tillfälle att se, men jag vill i alla fall omnämna ännu en gång, att han varit rektor vid högre realläroverket i Göteborg i 22 år och därefter i 4 år tjänstgjort som lektor vid samma läroverk med oförminskad arbetskraft och sålunda i 26 år tillhört statens läroverk. Därtill kommer 15!/2 års tjänstgöring som rektor vid ett högre </w:t>
      </w:r>
      <w:r>
        <w:rPr>
          <w:b/>
        </w:rPr>
        <w:t>kvinnligt¹</w:t>
      </w:r>
      <w:r>
        <w:rPr>
          <w:b w:val="0"/>
        </w:rPr>
        <w:t xml:space="preserve"> läroverk i Göteborg, med hvilket rektorat var förknippadt grundläggandet af detta läroverk under synnerligen ansträngande och kräfvande former, då läroverket icke blott skulle utvecklas från en lycklig grund, utan äfven åtskilliga byggnadsföretag voro därmed förbundna, hvilket äfven, om jag icke minns orätt, var händelsen med realläroverket i Göteborg under hans rektorat.</w:t>
        <w:br/>
        <w:br/>
        <w:t>Det är en principfråga det här gäller, och för den principfrågan skulle jag vilja hemställa till kammaren att här göra ett undantag. MSåvidt jag kan erinra mig, har här i Andra Kammaren icke blott under 1904 års debatt om läroverksreformen utan äfven vid mångfaldiga andra tillfällen framhållits, af hvilken ofantligt stor betydelse det är att ha våra privata läroverk och att till dessa</w:t>
        <w:br/>
        <w:br/>
        <w:t xml:space="preserve">kunna eröfras krafter från lärarekåren af särskildt betydande art, därför att dessa privata läroverk, vare sig de äro manliga eller </w:t>
      </w:r>
      <w:r>
        <w:rPr>
          <w:b/>
        </w:rPr>
        <w:t>kvinnliga¹</w:t>
      </w:r>
      <w:r>
        <w:rPr>
          <w:b w:val="0"/>
        </w:rPr>
        <w:t>, ha förmåga till initiativ utanför det program, som fastställts af de lagstiftande myndigheterna. Och man har ju förut haft den uppfattningen, att, för att man skulle få dit dugande lärare, dessa skulle äga att räkna tjänstår för pension. Nu är detta icke längre möjligt i och med läroverksreformen af år 1904. Men skälen för att man bör söka få dugande krafter till dessa läroverk stå enligt min mening fullkomligt oförminskade kvar. Skulle det vara på det sättet, att Riksdagen icke vill göra ett undantag för denne man, som i 26 år arbetat på ett sätt, som blifvit utomordentligt väl vitsordadt icke blott af offentliga myndigheter utan äfven af lärjungar och andra, som känna till hans verksamhet, och dessutom ägnat kanske sina bästa krafter åt att ordna ett betydande privat läroverk i Göteborg, skulle, som sagdt, Riksdagen icke vilja göra ett undantag för honom, frågar jag er, mina herrar, hur det skall vara tänkbart att till dessa privata läroanstalter få någon som helst dugande kraft. — Det är den stora principiella innebörden i denna pensionsfråga.</w:t>
        <w:br/>
        <w:br/>
        <w:t>Slutligen vill jag framhålla, att, när denne man, efter hvad jag kan förstå ganska lojalt gick in på den nya staten, han icke hade reda på, att den här pensionslagen skulle komma att bli stadfäst af Riksdagen år 1907, på hvilken lag man nu replierar.</w:t>
        <w:br/>
        <w:br/>
        <w:t>Jag tror sålunda, herr talman, att först och främst med tanke på den sällsynt vackra meritlista, som här blifvit företedd, och det dugande arbete denne man nedlagt i de privata undervisningsanstalternas tjänst, det verkligen föreligger ett undantagsfall och icke ett precendensfall, som kan ha farliga konsekvenser. Jag vågar därför på det varmaste anbefalla bifall till den reservation, som är fogad till denna punkt, eller med andra ord hemställa, att Kungl. Maj:ts förevarande proposition må vinna Riksdagens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