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1105</w:t>
      </w:r>
    </w:p>
    <w:p>
      <w:r>
        <w:rPr>
          <w:b/>
        </w:rPr>
        <w:t xml:space="preserve">Datum: </w:t>
      </w:r>
      <w:r>
        <w:t>1909-02-19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Lindberg (Socialdemokraterna, man)</w:t>
      </w:r>
    </w:p>
    <w:p>
      <w:r>
        <w:rPr>
          <w:b w:val="0"/>
        </w:rPr>
        <w:t>Herr talman, mina herrar! Jag har tagit mig friheten att motionsvis upptaga en under förra året till Konungen underdånigst framställd petition från några stycken före detta kustvakter, och då denna fråga äfven kommit före vid denna förhandling, skall jag be att få yttra några ord om densamma. Statsutskottet har afslagit min motion, och att få en motion afslagen af ett nära nog enhälligt statsutskott är någonting, som icke kan göra någon människa glad, äfven om, såsom här är fallet, detta afslag serverats tillsammans med ett mycket vackert uttalande från utskottets sida, att den beviljade pensionen med hänsyn till de prisförhållanden, som inträdt efter tiden för pensionsbeloppens bestämmande, kan anses låg. Detta är visserligen mycket vackert sagdt, men kan dock icke vara ägnadt att synnerligen mycket glädja dessa gamla pensionärer. Det är nog intressant att få reda på, att man har för små inkomster, men när man icke samtidigt får upplysning om, på hvilket sätt man skall kunna öka dessa inkomster, är det icke någon stor glädje med det.</w:t>
        <w:br/>
        <w:br/>
        <w:t>Utskottet har såsom motiv för sitt afslag framhållit, att ett bifall till min motion skulle medföra särdeles farliga konsekvenser. Jag har tagit mig friheten att något litet försöka utröna, hvilka dessa konsekvenser skulle vara. Jag har visserligen vid denna undersökning kommit till det resultat, att jag vid affattandet af min motion tyvärr blifvit vilseledd med afseende på antalet af dessa pensionärer. Jag trodde, att det endast gällde de 24 stycken, som jag blifvit upplyst om, men med anledning af de undersökningar, jag sedan gjort, har jag funnit flera, som stå i samma ställning som dessa 24. Men jag har också genom dessa undersökningar kommit till ett annat resultat, och det är att, när det är fråga om pensioner, som staten utdelar, bör man</w:t>
        <w:br/>
        <w:br/>
        <w:t xml:space="preserve">öfverhufvud taget icke tala om några konsekvenser. Man utdelar t. ex. skäligen höga pensioner till sådana statstjänare, som under sin tjänstgöringstid haft så pass bra betaldt, att man nästan borde kunna fordra, att de skulle aflägga något af sin förtjänst till försörjning på gamla dagar. Till andra däremot, hvilkas aflöning stått så nära existensminimum som möjligt, utdelar man pensioner, som i många fall understiga existensminimum. Det borde finnas en regel för utbetalande af pensioner, och den borde vara, att man till sådana statstjänare, som hela sitt lif offrat sig i statens tjänst, åtminstone utbetalade så stor pension, att icke vederbörande pensionstagare komma att falla fattigvården till last. Nu vet jag mycket väl, att man vid detta tillfälle kommer att anställa en jämförelse, vid hvilken man konsekvent kommer att se nedåt i stället för att man borde se uppåt, och att man vid denna jämförelse kommer att säga, att 500 kronor icke är någon så liten summa, och att mången skulle vara glad, om han kunde räkna på en sådan årsinkomst. Ja, detta är tyvärr alltför sant. Men jag vågar påstå, att 500 kronor under de närvarande dyra tiderna är alldeles för litet för en man att lefva på, och när därtill kommer, att förmodligen en del af dessa pensionstagare har en gammal </w:t>
      </w:r>
      <w:r>
        <w:rPr>
          <w:b/>
        </w:rPr>
        <w:t>hustru²</w:t>
      </w:r>
      <w:r>
        <w:rPr>
          <w:b w:val="0"/>
        </w:rPr>
        <w:t xml:space="preserve"> att försörja, så är beloppet absolut för litet. Det kan ju också hända, att någon af dessa åldringar behöfver anlita främmande människors hjälp och vård, och under sådana förhållanden är pensionsbeloppet också för litet. En annan omständighet måste äfven här tagas i beaktande, och det är arten af den tjänstgöring dessa män haft. De säga själfva härom i sin petition till Konungen: »en 35 äå 38-årig tjänstgöring 15 å 138 timmar om dygnet, i ur och skur, en tjänstgöring, som med hänsyn till det dåtida florerande smugglareväsendet var långt mera kräfvande än under nuvarande förhållanden, och den lön vi åtnjöto tillät inga besparingar; tvärtom utgjorde det förhållandet, att våra tjänstgöringsplatser i regel voro förlagda på långa afstånd från någon saluplats, en orsak till att våra lifsförnödenheter fördyrades.&gt; Det ligger i dessa enkla rader en skildring af ett mycket kräfvande och kanske oftast lifsfarligt arbete i statens tjänst, och jag undrar, om icke detta förhållande borde bidraga till, att det af mig föreslagna tillägget till deras pension borde beviljas. Vi hafva nu emellertid af herr statsrådet och chefen för finansdepartementet hört, att Första Kammaren redan fattat sitt beslut rörande denna hufvudtitel i sin helhet, och jag vågar icke hoppas, att Första Kammaren gjort undantag i denna punkt. Det är således icke lönt att göra sig några förhoppningar, men då det, herr talman, enligt min åsikt endast för konsekvensens skull bör göras någonting, ber jag att vid denna punkt få yrka bifall till herr Thorssons reservation.</w:t>
        <w:br/>
        <w:br/>
        <w:t>Herr Åkerman: Herr talman, mina herrar! Jag skall först</w:t>
        <w:br/>
        <w:br/>
        <w:t>be att få uttala min glädje öfver, att statsrådet och chefen för finansdepartementet varit i tillfälle att beriktiga hvad jag nyss råkat nämna, angående stämningen i Första Kammaren. Min sagesman därifrån har antagligen fallit för det, som så mången råkat ut för, nämligen att man så gärna tror, hvad man hoppas. Nog fins det goda utsikter för att en gemensam votering skall leda till bifall till herr Thorssons reservation. Nu ha vi visserligen hört af herr finansministern, att Första Kammaren med nästan isande kyla affärdat denna sak, men jag tänker, att när ledamöterna af den kammaren få se den utredning vi presterat och läsa den debatt, som här utspunnit sig, de måhända komma att något modifiera sina åsikter. Med min ärade partikamrat, herr BStarbäck, vill jag icke inlåta mig på någon mera djupgående polemik. Hans anförande var prägladt af den välvilja och älskvärdhet, som är honom egen, och jag tackar honom därför och för den lilla ljusglimt hans motivering utgör. Mot en punkt i hans anförande vill jag dock uttrycka min förvåning. Han har varit med i utskottet och strypt motionen, därför att det fattades utredning. Vi hafva nu företett utredning, och då säger han, att man icke kan lita på af enskilda motionärer verkstälda utredningar. Jag undrar då, huru man skall göra. Om man icke lämnar utredning, svaras det, att motionen icke kan bifallas på grund af bristande utredning. Lämnar man åter utredning, får man höra, att af enskilda personer verkställd utredning icke passar, Detta är mycket egendomligt. Jag kan icke gå med herr Thorsson, då han böjer sig för detta. Vi tappa på detta vis alldeles bort oss i former. Hvart bär det hän, om vi skola på detta sätt kräla oss fram? Jag ser saken enkel, såsom den också är. Här är en hel skara af statstjänstemän, som äro förtviflade därför, att deras löneförhöjning fördröjes. Det finnes ingen säkerhet för, att någon förhöjning kommer till stånd nästa år. De kunna få vänta ett och kanske två år, och när allt kommer omkring, skall den utredning, som presteras, jämföras med en hel del andra saker. Statskonsten är säkerligen en mycket svår konst, och det ser nästan ut, som om man skulle kunna säga, att den rent af är konstig. Här har det gjorts svårigheter af alla möjliga slag, och när jag tänker på detta slags statskonst, har jag sannerligen lust att citera Döbelns ord: »Jag vet ni följa konstens lagar, men binda de oss för år och dagar, så bryt dem som en man, det är mitt ord.»</w:t>
        <w:br/>
        <w:br/>
        <w:t>Herr Branting. Herr talman, mina herrar! Vi hörde nyss herr finansministern en smula ironisera öfver den lätthet, med hvilken en nyvald ledamot af denna kammare trodde sig kunna hoppas på någon välvilja från Första Kammaren för dem, hvilkas talman han varit i sin motion. Jag tror, att det för oss, som varit med här något längre, icke var den minsta öfverrask-</w:t>
        <w:br/>
        <w:br/>
        <w:t>ning, att man i Första Kammaren ägnade oändligt litet intresse och uppmärksamhet åt en fråga, sådan som denna. Det rör ju de lägsta statstjänarnes intressen och löneförbättring för en samhällsklass, hvilken — må man säga hvad man vill om vackra undantag — icke ligger flertalet af Första Kammarens ledamöter synnerligen nära om hjärtat.</w:t>
        <w:br/>
        <w:br/>
        <w:t>Jag tror därför att det argument, som herr finansministern syntes hämta från hållningen i Första Kammaren, i själfva verket vänder sig åt alldeles rakt motsatt håll. Det bör då vara så mycket mera angeläget för Andra Kammaren att visa, att den icke är så likgiltig, som man är i Första Kammaren för en sådan fråga.</w:t>
        <w:br/>
        <w:br/>
        <w:t>För att visa detta på det mest kraftiga sätt, tror jag för min del, att det, såsom saken nu ligger, icke åsterstår annat än att samla sig om herr Thorssons reservation.</w:t>
        <w:br/>
        <w:br/>
        <w:t>Innan man visste något om utgången i Första Kammaren, hade man kunnat tänka, att det yrkande som framställts af herr Starbäck, skulle kunna hafva bärighet och i vissa afseenden företräden. Men nu veta vi ju, att det icke kan medföra något resultat, äfven om det skulle bifallas här i kammaren. Tillägget faller helt enkelt bort i Riksdagens skrifvelse, då Första Kammaren redan har beslutat i enlighet med statsutskottets utlåtande. Det blefve således en fullkomligt tom demonstration från Andra Kammaren. Det förefaller mig då, att det riktiga i stället skulle vara, att vi här votera om realiteter, att vi göra ett uttalande till förmån för det högre beloppet, som ändock har nedsatts från motionärens förslag till det belopp, som herr Thorsson i sin reservation påyrkat. Därigenom kunna vi visa Första Kammaren, att det här finnes resonans för krafven från de lägsta statstjänarne och då kunna vi, äfven om vi icke segra, visa dessa statstjänare, att vi hafva intresse för deras kraf.</w:t>
        <w:br/>
        <w:br/>
        <w:t>Jag ber, herr talman, att i frågans nuvarande läge få förena mig med dem, som yrka bifall till herr Thorssons reservation.</w:t>
      </w:r>
    </w:p>
    <w:p>
      <w:pPr>
        <w:pStyle w:val="Heading2"/>
      </w:pPr>
      <w:r>
        <w:t>2. Karl Starbäck (Lantmanna- och borgarepartiet inom andrakammaren, man)</w:t>
      </w:r>
    </w:p>
    <w:p>
      <w:r>
        <w:rPr>
          <w:b w:val="0"/>
        </w:rPr>
        <w:t>Herr talman, mina herrar! Det är visserligen sant, att det kan vara svårt för en enskild motionär att veta, huru han skall bära sig åt för att för statsutskottet och Riksdagens Andra Kammare framlägga motiven för sin ståndpunkt, och statsutskottet har en viss skyldighet att se saken på annat sätt, litet med förstånd, icke endast godt hjärtelag. Det är visserligen sant, att det är svårt. Jag trodde mig emellertid icke trampa min ärade partivän på tårna, då jag framdrog ett exempel från poststaten, och sade att jag, som själf deltagit i kommittéarbetet angående denna, hade sökt att med kommitté-</w:t>
        <w:br/>
        <w:br/>
        <w:t>sekreterarens hjälp hitta på ett sätt, hvarigenom man skulle kunna tillgodose vissa lägre funktionärers lönekraf, men misslyckades till följd af hinder från alla möjliga håll.</w:t>
        <w:br/>
        <w:br/>
        <w:t>Kommer Andra Kammaren att här bifalla motionärens yrkande, har jag naturligtvis egentligen ingenting däremot, och detta så mycket mera af den anledning, som af den föregående talaren berörts, ty man har ju naturligtvis egentligen ingen förhoppning, att, om Andra Kammaren här skulle demonstrera genom ett bifall till mitt förslag, regeringen, som ju vanligtvis följer intentioner från Första Kammaren, skulle i samband med förslaget visa sig taga hänsyn till detta. Det är därför svårt att med någon vidare entusiasm försvara mitt motiveringsförslag, men jag kan icke frångå, att det förefaller mig, som vore det försiktigast och af Andra Kammaren riktigast att antaga detsamma.</w:t>
        <w:br/>
        <w:br/>
        <w:t xml:space="preserve">Med afseende å herr Lindbergs motion är jag också i det predikament, att jag måste tala mot densamma. Jag vill säga, att principiellt skulle nog Riksdagen kunna godkänna motionen, därför att 1908 års Riksdag godkände ett af enskild motionär, nämligen herr Rydén, framställdt förslag att tillgodose extra ordinarie </w:t>
      </w:r>
      <w:r>
        <w:rPr>
          <w:b/>
        </w:rPr>
        <w:t>lärarinnor³</w:t>
      </w:r>
      <w:r>
        <w:rPr>
          <w:b w:val="0"/>
        </w:rPr>
        <w:t xml:space="preserve"> vid folkskolor liksom lärare och </w:t>
      </w:r>
      <w:r>
        <w:rPr>
          <w:b/>
        </w:rPr>
        <w:t>lärarinnor³</w:t>
      </w:r>
      <w:r>
        <w:rPr>
          <w:b w:val="0"/>
        </w:rPr>
        <w:t xml:space="preserve"> vid småskolor och mindre folkskolor, som afgått ur tjänsten enligt kungörelsen af den 22 juli 1902 och således utan att hafva erhållit pension. Dessutom biföll Riksdagen äfven en annan motion, hvarigenom Riksdagen ökade pensionsbeloppet för sådana pensionstagare, hvilkas pension varit synnerligen obetydlig. Det gällde emellertid här så litet som att höja pensionerna så, att pensionstagarna skulle komma upp till ett belopp af 150 kronor. Detta är ju ett belopp, som står långt under det som man, äfven om man är begåfvad med det hårdaste sinnelag, måste anse vara existensminimum.</w:t>
        <w:br/>
        <w:br/>
        <w:t>Principiellt har Riksdagen gifvit ett prejudikat, enligt hvilket man kan öka en pension från ett belopp, som Riksdagen anser för lågt, men man måste väl ändock här taga hänsyn till beloppen, och det är väl detta, som utskottet menar, då det säger, att det kan finnas synnerligen vidtgående konsekvenser. Och här ber jag att få fästa herr Åkermans uppmärksamhet på, huru förhållandena kunna gestalta sig, ty han måste ju medgifva, att den ganska begränsade motion, han framlagt, visar en bristande utredning. Det är icke så godt för en enskild motionär att förebringa full utredning.</w:t>
        <w:br/>
        <w:br/>
        <w:t>Men det är icke denna, utan en annan sak, som jag nu vill framhålla. Här fastslår Riksdagen en viss pension att utgå från en viss tid. Naturligtvis komma de personer, som året förut fått pension efter de lägre beloppen, att känna sig obehagligt berörda af att icke deras pensionsålder kom ett år senare. Hvar och en af dessa personer skall i någon mån med ett visst berättigande kunna vända sig till Kungl. Maj:t och säga: Vi</w:t>
        <w:br/>
        <w:br/>
        <w:t>fingo icke våra pensioner så höga, ehuru lefnadsstandarden redan då var höjd. Jag kan för min del icke taga på mig ansvaret för dessa konsekvenser och tillstyrka Riksdagen att bifalla herr Lindbergs motion, låt vara att beloppet är ganska lågt. Jag känner icke, hvilka statstjänare ha ett liknande belopp i pension. Och hvarför skall man just sätta gränsen till 700 kronor?</w:t>
        <w:br/>
        <w:br/>
        <w:t>Jag tror således, att utskottet haft goda skäl för sitt afslagsyrkande och skall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