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w:t>
      </w:r>
    </w:p>
    <w:p>
      <w:r>
        <w:rPr>
          <w:b/>
        </w:rPr>
        <w:t xml:space="preserve">Datum: </w:t>
      </w:r>
      <w:r>
        <w:t>1909-05-16</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Fredrik Nyström (Första kammarens nationella parti, man)</w:t>
      </w:r>
    </w:p>
    <w:p>
      <w:r>
        <w:rPr>
          <w:b w:val="0"/>
        </w:rPr>
        <w:t xml:space="preserve">Herr talman, mina herrar! I denna punkt är det fråga om en ur statsfinansiell synpunkt mycket ringa sak. Frågan gäller en gammal sjuklig och fattig </w:t>
      </w:r>
      <w:r>
        <w:rPr>
          <w:b/>
        </w:rPr>
        <w:t>änka²</w:t>
      </w:r>
      <w:r>
        <w:rPr>
          <w:b w:val="0"/>
        </w:rPr>
        <w:t xml:space="preserve"> efter en vaktmästare vid Sundsvalls elementarläroverk, om </w:t>
      </w:r>
      <w:r>
        <w:rPr>
          <w:b/>
        </w:rPr>
        <w:t>hon²</w:t>
      </w:r>
      <w:r>
        <w:rPr>
          <w:b w:val="0"/>
        </w:rPr>
        <w:t xml:space="preserve"> skall få en pension af 300 kronor eller icke. Statsutskottet har ställt sig liksom statskontoret på den rent formella ståndpunkten. </w:t>
      </w:r>
      <w:r>
        <w:rPr>
          <w:b/>
        </w:rPr>
        <w:t>Hon²</w:t>
      </w:r>
      <w:r>
        <w:rPr>
          <w:b w:val="0"/>
        </w:rPr>
        <w:t xml:space="preserve"> har icke varit i statens tjänst och följaktligen skall </w:t>
      </w:r>
      <w:r>
        <w:rPr>
          <w:b/>
        </w:rPr>
        <w:t>hon²</w:t>
      </w:r>
      <w:r>
        <w:rPr>
          <w:b w:val="0"/>
        </w:rPr>
        <w:t xml:space="preserve"> icke få pension. Om denna ståndpunkt är ingenting att säga. Men jag tror, att kammaren i denna punkt, som i åtskilliga andra, äfven bör kunna taga hänsyn till reella synpunkter och icke blott till formella. Vi hafva i den närmast föregående punkten gifvit en vaktmästaränka pension. Visserligen har denna </w:t>
      </w:r>
      <w:r>
        <w:rPr>
          <w:b/>
        </w:rPr>
        <w:t>änka²</w:t>
      </w:r>
      <w:r>
        <w:rPr>
          <w:b w:val="0"/>
        </w:rPr>
        <w:t xml:space="preserve"> själf varit vaktmästare, men både Kungl. Maj:t och utskottet ha för att motivera </w:t>
      </w:r>
      <w:r>
        <w:rPr>
          <w:b/>
        </w:rPr>
        <w:t>hennes²</w:t>
      </w:r>
      <w:r>
        <w:rPr>
          <w:b w:val="0"/>
        </w:rPr>
        <w:t xml:space="preserve"> pension varit nog hyggliga att sammanräkna </w:t>
      </w:r>
      <w:r>
        <w:rPr>
          <w:b/>
        </w:rPr>
        <w:t>hennes²</w:t>
      </w:r>
      <w:r>
        <w:rPr>
          <w:b w:val="0"/>
        </w:rPr>
        <w:t xml:space="preserve"> tjänstår med </w:t>
      </w:r>
      <w:r>
        <w:rPr>
          <w:b/>
        </w:rPr>
        <w:t>hennes²</w:t>
      </w:r>
      <w:r>
        <w:rPr>
          <w:b w:val="0"/>
        </w:rPr>
        <w:t xml:space="preserve"> mans tjänstår för att få dem upp till 18. Där har således utskottet medgifvit, att </w:t>
      </w:r>
      <w:r>
        <w:rPr>
          <w:b/>
        </w:rPr>
        <w:t>änkan²</w:t>
      </w:r>
      <w:r>
        <w:rPr>
          <w:b w:val="0"/>
        </w:rPr>
        <w:t xml:space="preserve"> också kan hafva tjänat, under det mannen lefde. Detta är i ännu högre grad fallet med denna </w:t>
      </w:r>
      <w:r>
        <w:rPr>
          <w:b/>
        </w:rPr>
        <w:t>änka²</w:t>
      </w:r>
      <w:r>
        <w:rPr>
          <w:b w:val="0"/>
        </w:rPr>
        <w:t xml:space="preserve">. </w:t>
      </w:r>
      <w:r>
        <w:rPr>
          <w:b/>
        </w:rPr>
        <w:t>Hennes²</w:t>
      </w:r>
      <w:r>
        <w:rPr>
          <w:b w:val="0"/>
        </w:rPr>
        <w:t xml:space="preserve"> man tjänade i 30 år, men han var sjuklig och led af hjärtlidande, och det var till stor del hans nuvarande </w:t>
      </w:r>
      <w:r>
        <w:rPr>
          <w:b/>
        </w:rPr>
        <w:t>änka²</w:t>
      </w:r>
      <w:r>
        <w:rPr>
          <w:b w:val="0"/>
        </w:rPr>
        <w:t xml:space="preserve">, som fick sköta sysslan äfven då. Så ömmande äro de skäl, som tala för </w:t>
      </w:r>
      <w:r>
        <w:rPr>
          <w:b/>
        </w:rPr>
        <w:t>hennes²</w:t>
      </w:r>
      <w:r>
        <w:rPr>
          <w:b w:val="0"/>
        </w:rPr>
        <w:t xml:space="preserve"> pensionering, att läroverksöfverstyrelsen två gånger tillstyrkt pension åt </w:t>
      </w:r>
      <w:r>
        <w:rPr>
          <w:b/>
        </w:rPr>
        <w:t>henne²</w:t>
      </w:r>
      <w:r>
        <w:rPr>
          <w:b w:val="0"/>
        </w:rPr>
        <w:t xml:space="preserve">, men på detta formella skäl, som jag nyss nämnde, har det afböjts af vederbörande. Det visar emellertid, att här finnas alldeles speciella skäl för pensionering. Ett sådant af mycket stor betydelse är ock framfördt i motionen, där det uppgifves, att intyg har lämnats om, att denna </w:t>
      </w:r>
      <w:r>
        <w:rPr>
          <w:b/>
        </w:rPr>
        <w:t>änka²</w:t>
      </w:r>
      <w:r>
        <w:rPr>
          <w:b w:val="0"/>
        </w:rPr>
        <w:t xml:space="preserve"> och </w:t>
      </w:r>
      <w:r>
        <w:rPr>
          <w:b/>
        </w:rPr>
        <w:t>hennes²</w:t>
      </w:r>
      <w:r>
        <w:rPr>
          <w:b w:val="0"/>
        </w:rPr>
        <w:t xml:space="preserve"> aflidne man vid Sundsvalls stads brand år 1888 räddade elementarläroverket från att brinna ned. Det var det enda hus, som räddades i den stadsdelen.</w:t>
        <w:br/>
        <w:br/>
        <w:t xml:space="preserve">Af dessa skäl synes det mig, som om kammaren en gång nu kunde lämna den formella synpunkt, som statsutskottet ensamt har framhållit, nämligen att </w:t>
      </w:r>
      <w:r>
        <w:rPr>
          <w:b/>
        </w:rPr>
        <w:t>hon²</w:t>
      </w:r>
      <w:r>
        <w:rPr>
          <w:b w:val="0"/>
        </w:rPr>
        <w:t xml:space="preserve"> icke själf har varit i statens tjänst, och se på de andra synpunkter, som jag i korthet framhållit, och således bifalla den väckta motionen.</w:t>
        <w:br/>
        <w:br/>
        <w:t>Jag får alltså, herr talman, yrka bifall till reservationen i denna punkt.</w:t>
      </w:r>
    </w:p>
    <w:p>
      <w:pPr>
        <w:pStyle w:val="Heading2"/>
      </w:pPr>
      <w:r>
        <w:t>2. Henrik Falkenberg (–, man)</w:t>
      </w:r>
    </w:p>
    <w:p>
      <w:r>
        <w:rPr>
          <w:b w:val="0"/>
        </w:rPr>
        <w:t xml:space="preserve">Ja, det kan nog låta mycket behjärtansvärdt hvad den föregående ärade talaren sagt, men jag vill fästa kammarens uppmärksamhet på, att detta skulle vara en alldeles ny väg, som kammaren skulle slå in på. Staten aflönar icke ens vaktmästarna. Vaktmästarna hafva sin aflöning från elevafgifterna, men staten har gått så långt i tillmötesgående, att den numera pensionerar vaktmästarna. Skall man nu slå in på den vägen att äfven pensionera vaktmästarnas </w:t>
      </w:r>
      <w:r>
        <w:rPr>
          <w:b/>
        </w:rPr>
        <w:t>hustrur²</w:t>
      </w:r>
      <w:r>
        <w:rPr>
          <w:b w:val="0"/>
        </w:rPr>
        <w:t>, då de icke gjort tjänst vid läroverket i annan form än den hjälp de lämnat sina män, tror jag man gör sig saker till införandet af en farlig princip. Jag tror, att det skulle bli ett orimligt antal fall, som härigenom skulle komma fram för Riksdagen.</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