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1130</w:t>
      </w:r>
    </w:p>
    <w:p>
      <w:r>
        <w:rPr>
          <w:b/>
        </w:rPr>
        <w:t xml:space="preserve">Datum: </w:t>
      </w:r>
      <w:r>
        <w:t>1910-03-13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Widen (Utan partibeteckning, man)</w:t>
      </w:r>
    </w:p>
    <w:p>
      <w:r>
        <w:rPr>
          <w:b w:val="0"/>
        </w:rPr>
        <w:t>Herr talman, mina herrar!</w:t>
        <w:br/>
        <w:br/>
        <w:t>poT pest Herrarne finna af detta betänkande, att jag jämte åtskilliga andra</w:t>
        <w:br/>
        <w:br/>
        <w:t>kendag af badledamöter i utskottet från denna kammare har reserverat oss och inrättning 1 hufvudsak yrkat bifall till motionen.</w:t>
        <w:br/>
        <w:br/>
        <w:t>m. m. utöfver Jag vill nu säga några ord i anledning häraf och framställa viss tid. yrkande om bifall till reservationen. Jag har i denna reservation (Forts.) så pass fullständigt utvecklat skälen, hvarför man bör vara med</w:t>
        <w:br/>
        <w:br/>
        <w:t xml:space="preserve">på förevarande framställning, att jag, under antagande att herrarna läst reservationen, skulle kunna hänvisa till denna. Emellertid vill jag nu ytterligare påpeka, att det torde vara till fullo konstateradt och för öfrigt uppenbart, att det verkligen föreligger behof af mera kvällshvila för den personal, hvarom här är fråga, särskildt personalen vid badinrättningarna, än hvad som för närvarande äger rum. Nu stängas ju badinrättningarna för kunderna i allmänhet icke förrän kl. 10 på kvällen. Men personalens arbete är icke slut med det att anstalten stänges, utan den har åtminstone här i Stockholm att efteråt sörja för rengöring och dylikt, så att på sätt i motionen upplyses arbetet icke är slut förrän vid half elfva eller elfvatiden och vissa dagar ändå senare. Om man betänker, att största delen af personalen utgöres af </w:t>
      </w:r>
      <w:r>
        <w:rPr>
          <w:b/>
        </w:rPr>
        <w:t>kvinnor¹</w:t>
      </w:r>
      <w:r>
        <w:rPr>
          <w:b w:val="0"/>
        </w:rPr>
        <w:t>, af hvilka en hel del äro gifta och ha hem att sköta och i alla händelser torde vara i den ställningen, att det förestår dem åtskilligt arbete, när de komma hem, så är det naturligtvis mycket hårdt för dem att icke få komma från badinrättningen förrän så sent på natten som under nuvarande omständigheter är fallet. Nu har ju icke heller lagutskottet direkt förnekat, att ett behof här föreligger, men utskottets hufvudskäl för afstyrkande af motionen är det, att badtiden mellan 9—10 på kvällen är särskildt mycket frekventerad, att många människor helst bada vid den tiden; och det har äfven visats genom tabeller, som företetts i lagutskottet, att så verkligen är förhållandet. Men det torde i alla fall icke vara riktigt att, såsom lagutskottet gör, utan vidare antaga, att det därför är omöjligt att kunna få det ordnadt på annat sätt. Enligt uppgifter, lämnade af personalen själf, förmenar denna tvärtom, att det skulle gå mycket väl för sig att arrangera det så, att denna sista badtimme icke behöfde användas. Det är dock gifvet, att detta måste bli föremål för undersökning och pröfning, och reservanterna hafva också påpekat, att det skall noga utredas, huruvida det är nödvändigt att ha en så sen badtid, att icke vissa klasser genom dess borttagande skola betagas möjligheten att erhålla bad. Detär dock möjligt, att, om så skulle visa sig vara förhållanaet, i allt fall en ganska väsentlig förbättring för personalen skulle kunna äga rum, därigenom att åtgärder vidtoges, så att t. ex. dels icke hela personalen behöfde vara tillstädes under just den timmen, och dels att efterarbetet blefve ordnadt på ett annat sätt. Den omständigheten, att badinrättningarna nu äro så besökta mellan 9 och 10 på kvällen,</w:t>
        <w:br/>
        <w:br/>
        <w:t xml:space="preserve">bör icke få lägga hinder i vägen för de verkligen berättigade Ang. förbud kraf, som här gjort sig gällande. fd gr Det ifrågasatta stadgandet utgör för öfrigt ett led i den kendag af badskyddslagstiftning för de </w:t>
      </w:r>
      <w:r>
        <w:rPr>
          <w:b/>
        </w:rPr>
        <w:t>kvinnliga¹</w:t>
      </w:r>
      <w:r>
        <w:rPr>
          <w:b w:val="0"/>
        </w:rPr>
        <w:t xml:space="preserve"> arbetarna, hvaraf en viktig inrättning del antogs i fjol, och äfven om man icke ansett sig kunna num. m. utöfver utan vidare utsträcka denna skyddslagstiftning till att äfven gälla viss tid. den </w:t>
      </w:r>
      <w:r>
        <w:rPr>
          <w:b/>
        </w:rPr>
        <w:t>kvinnliga¹</w:t>
      </w:r>
      <w:r>
        <w:rPr>
          <w:b w:val="0"/>
        </w:rPr>
        <w:t xml:space="preserve"> badpersonalen, är det dock alldeles uppenbart, att (Forts.) fullkomligt samma skäl, som föranledde beslutet i fjol om inskränkning i </w:t>
      </w:r>
      <w:r>
        <w:rPr>
          <w:b/>
        </w:rPr>
        <w:t>kvinnornas¹</w:t>
      </w:r>
      <w:r>
        <w:rPr>
          <w:b w:val="0"/>
        </w:rPr>
        <w:t xml:space="preserve"> nattarbete, också påkalla den nu ifrågasatta inskränkningen i arbetet å badinrättningarna. Det torde därvid vara det mest praktiska, att man gör en afkortning af arbetstiden på kvällarna för hela personalen, en åtgärd, af hvilken emellertid förnämligast </w:t>
      </w:r>
      <w:r>
        <w:rPr>
          <w:b/>
        </w:rPr>
        <w:t>kvinnorna¹</w:t>
      </w:r>
      <w:r>
        <w:rPr>
          <w:b w:val="0"/>
        </w:rPr>
        <w:t xml:space="preserve"> komme att gagnas. Inom kommerskollegium finnes såsom bekant en afdelning, som har att handlägga frågor af denna art, och en utredning i detta Hänseende synes sålunda utan större vare sig kostnader eller besvär för staten böra lätteligen kunna åvägabringas; det är ju således en föga vidtutseende affär det gäller, utan en ganska enkel sak som begäres. Om en dylik undersökning skall sättas i gång i fråga om badanstalterna, ha reservanterna ansett, att skäl föreligga att taga med äfven rakstugor och frisérsalonger. Visserligen äger för närvarande hvad angår rakstugor och herrfrisérsalonger, åtminstone på vissa håll, en öfverenskommelse rum, enligt hvad i betänkandet upplyses, men man vet ju icke, huru länge denna öfverenskommelse, som är fullkomligt frivillig kan äga bestånd. Den kan bli om intet därigenom att en enda arbetsgifvare på detta område icke längre vill vara med, och det är uppenbarligen tryggare att få en lagstiftning i ämnet. Om en utredning skall ske på det ena området, torde det vara all anledning, att den får utsträckas äfven till det andra. På dessa skäl ber jag, herr talman, att få yrka bifall till den vid betänkandet fogade reservationen.</w:t>
        <w:br/>
        <w:br/>
        <w:t>I detta anförande instämde herrar Karlsson i Fjäl, Ersson, Olsson i Alfdalsåsen, Jansson 1 Edsbäcken, Berggren, Lindhagen och Pettersson i Södertälje.</w:t>
      </w:r>
    </w:p>
    <w:p>
      <w:pPr>
        <w:pStyle w:val="Heading2"/>
      </w:pPr>
      <w:r>
        <w:t>2. Carl Petersson (Lantmannapartiet, man)</w:t>
      </w:r>
    </w:p>
    <w:p>
      <w:r>
        <w:rPr>
          <w:b w:val="0"/>
        </w:rPr>
        <w:t>Då jag varit med om det slut, hvartill utskottet kommit, skall jag be att i all korthet få angifva den synpunkt, som varit för utskottet afgörande. Det är ju utredt, att denna timme 9—10 af många klasser i Stockholm användes såsom badtid, och dessa skulle genom den föreslagna lagbestämmelsen blifva utestängda från möjligheten att på för sig lämplig tid erhålla ett bad. Detta har gjort, att man inom</w:t>
        <w:br/>
        <w:br/>
        <w:t>söka badinrättningarna på en tidigare timme, skulle det vara till</w:t>
        <w:br/>
        <w:br/>
        <w:t>inrättning afsevärd olägenhet, om herr Lindhagens förslag skulle gå igenom. m .m. utöfver Jag skall därför be att få yrka bifall till lagutskottets hemställan.</w:t>
        <w:br/>
        <w:br/>
        <w:t>Hvar som genom att häda Gud eller genom att lasta eller gäcka sakramenten åstadkommer allmän förargelse, straffas med fängelse i högst ett år eller böter.</w:t>
      </w:r>
    </w:p>
    <w:p>
      <w:pPr>
        <w:pStyle w:val="Heading2"/>
      </w:pPr>
      <w:r>
        <w:t>3. Karl Starbäck (Lantmanna- och borgarepartiet inom andrakammaren, man)</w:t>
      </w:r>
    </w:p>
    <w:p>
      <w:r>
        <w:rPr>
          <w:b w:val="0"/>
        </w:rPr>
        <w:t>Herr talman, mina berrar! Såsom jag i början af min motion framhållit, kan det måhända synas olämpligt att återigen taga Riksdagens tid i anspråk vid behandlingen af detta ämne. Men å andra sidan kunde jag för min enskilda del icke underlåta att åter upptaga frågan, på grund af hvad som inträffat mellan 1909 och 1910 års riksdagar. Det har alltid på mig verkat ganska upprörande, att ännu i nådens år 1909 en person skulle dömas till fängelse på grund af afvikande uppfattning i religiösa saker. Det säges visserligen, att hans dom berodde på, att hans framställning var af sådan beskaffenhet, att den måste nödvändigt föra fram till ett straff. Men jag kan icke finna, att detta resonemang är riktigt, och det är därför jag kommit med den hemställan jag i min motion gör.</w:t>
        <w:br/>
        <w:br/>
        <w:t>Det som först och främst enligt paragrafens nuvarande lydelse skall undersökas är, huruvida det verkligen är Guds heliga ord, som angripits. Det är detta, som, enligt min mening, är så orimligt svårt att afgöra, och härför tror jag mig i min motion hafva lämnat fullgoda skäl. Det kommer att ställa sig på det sättet, att man antingen måste förklara, att bibeln från början till slut är likställd med Guds heliga ord, eller också skall domaren för hvarje särskildt fall afgöra, huruvida det är Guds heliga ord, som angripits eller ej. Det är sådana konflikter, som göra den anklagades ställning så rättslös, ty själfva lagparagrafen gifver icke någon som helst ledning för, hvad som skall menas med Guds heliga ord. Jag vill fästa herrarnas uppmärksamhet på att beträffande det rättsfall, om hvilket jag talar i min motion, då Viktor Lennstrand var anklagad för hädelse, var det enligt min mening en synnerligen upplyst domare, som just framhöll det omöjliga för en domare att afgöra, hvad som menas med Guds heliga ord och framför allt framställde det påstående, att allt som står i bibeln omöjligen kan inför en vetenskaplig kritik och inför vår tids upplysta opinion betraktas som af Gud inspireradt. Lagparagrafen är i själfva verket i detta afseende en kvarlefva från</w:t>
        <w:br/>
        <w:br/>
        <w:t>för min del kommit fram med den hemställan jag i min motion gör.</w:t>
        <w:br/>
        <w:br/>
        <w:t xml:space="preserve">En annan sak, som också inverkat på min tankegång, är det beslut, som Andra kammaren under förra årets riksdag fattade. Detta beslut gick, såsom vi veta, ut på en skrifvelse till Kungl. Maj:t, uti hvilken skulle anhållas om sådan ändring, att bestämmelserna om religionsbrott skulle borttagas och ersättas med straffbestämmelser för offentligt hånande af någons trosbekännelse eller någons troslära. I själfva verket betecknar detta beslut en tillbakagång, hvilket jag också sökt påvisa i min motion. Vi hafva så att säga kommit ur askan i elden. I det anförande, som, enligt hvad jag tror, var bärande för kammarens beslut, nämligen professor 'Thyréns, uttalar denne, att det naturligtvis icke är trosbekännelsen sådan den ordagrant förkunnas, utan det centrala i trosbekännelsen, mot hvilket man icke får vända sig, och hvad som är centralt skall domaren afgöra. Vi stå således precis på samma ståndpunkt. 'Trosbekännelserna äro, enligt min uppfattning, lika skiftande som individerna. Den ene håller på något såsom ett centrum, under det den andre betecknar samma sak som en periferisk del af trosbekännelsen, hvilken som helst. Jag förmodar, att bland här närvarande ledamöter i kammaren det icke finnes många, som icke skulle anse det för ett ganska menlöst skämt, ifall man vågade drifva med läran om den idisslande haren. Knappast någon torde finnas, som vill påstå, att denna lära är något centralt i någon som helst kristen trosbekännelse, och dock har jag varit vittne till ganska allvarliga strider i den stad jag representerar just angående detta ställe i bibeln. Förhållandet är, att legenden, om jag så må kalla den, om den idisslande haren varit föremål för lifliga studier. Personer, som t. o. m. hafva rätt att bära doktorstite'n, hafva uttalat sig i frågan, och en veterinär i Danmark har skrifvit en längre afhandling, i hvilken han sökt bevisa, att haren verkligen idisslar, och detta bevis framhålles på fullt allvar för att bekräfta bibeln såsom en produkt af verbalinspiration. Det finnes många olika begåfningar hos människor, och jag fruktar för, att många verkligen taga denna kamp för verbalinspirationen i sammanhang med den idisslande haren för kontant och anse den som en integrerande del af hans eller </w:t>
      </w:r>
      <w:r>
        <w:rPr>
          <w:b/>
        </w:rPr>
        <w:t>hennes²</w:t>
      </w:r>
      <w:r>
        <w:rPr>
          <w:b w:val="0"/>
        </w:rPr>
        <w:t xml:space="preserve"> trosbekännelses centrala partier. Man kan våga sig på det tankeexperimentet, att en person åtalas för hån mot den idisslande haren, och då kommer domaren i följande predikament. Antingen säger han: detta tillhör naturligtvis icke — vi kunna tänka oss hvilket exempel som helst, fastän jag tagit detta såsom drastiskt och betecknande — den centrala delen af den trosbekännelse, som attackeras, fastän de, som hålla på läran om den idisslande haren, säga: vi anse detta för en central</w:t>
        <w:br/>
        <w:br/>
        <w:t>del och därför skall personen dömas. Eller också säger domaren: Ang. ändrad eftersom ni själf tror på den idisslande haren, får naturligtvis lydelse V icke den dogmen hånas, och därför skall personen ifråga dömas. strafflagen. Domaren utsätter sig härigenom för en upplyst opinions ironi- = (Forts) ska eller sardoniska löje, men den som hånat kan få fängelse härför. | Jag tror således, att man mycket väl kan säga, att Andra kammarens beslut vid föregående riksdag i det fallet betecknar en tillbakagång, som kan medföra de mest oväntade konsekvenser. Detta är min tankegång, på grund af hvilken jag kommit till det yrkande, som jag vågat framföra. Jag kan icke heller finna, att utskottet kunnat, eller kanske rättare sagdt velat, isak bemöta min framställning. Utskottet har icke påvisat något oriktigt i mitt resonemang; det har icke tagit upp till debatt frågan, om den vetenskapliga forskningens resultat bör sättas emot äfven de allra frommaste människors uppfattning med afseende på den eller den berättelsen i bibeln. Jag tror således, att mitt förslag skulle hafva medfört en ändring till det bättre; men då nu detta betänkande föreligger, och ingen reservant upptagit min mening, vill jag ej hålla på den utan skall komma till ett annat slutyrkande. Jag vill nu något skärskåda utskottets yttrande och jag ser då på, hvad lagutskottet sagt i sista punkten i näst sista stycket: »En dylik svårighet skulle visa sig i fråga om gäckeri af alla de — på den heliga skrift grundade — begrepp, som dels närmare bestämma och förklara Gudsbegreppet i den kristna religionen, t. ex. dogmen om treenigheten och hvad därmed sammanhänger, om uppståndelsen m. m., dels ock gifva sakramenten deras innehåll och religiösa värde, utan hvilket detsamma blott vore en tom form.» Detta särskilda yttrande liksom för öfrigt hela lagutskottets betänkande synes mig alldeles bestämdt syfta på, att det här gäller skydd endast för en trosbekännelse, att det gäller skydd för den svenska statskyrkans trosbekännelse och intet annat. Hela utskottets betänkande synes, om man jämför det med strafflagens ord, vittna om, att utskottet här icke haft någon annan afsikt eller önskan än att värna om statskyrkans trosbekännelse och statskyrkans medlemmar. Men jag kan då omöjligt komma ifrån, att det ligger något upprörande i, att man genom lagen söker skydda endast dem, som bekänna sig till en viss trosbekännelse. Det var ju äfven detta, som Riksdagen förra året sökte komma ifrån, då den beslöt denna skrifvelse och i densamma ville inflika bestämmelser om »i riket erkänd trosbekännelse», Men då kommer man in på de andra svårigheter, som jag sökt skildra, och hur man ställer sig, vare sig på utskottets eller på Andra kammarens ståndpunkt i fjol, står man lika illa situerad. Framför allt kan jag omöjligt finna, att utskottet med sitt resonemang kommit ifrån, att något i denna sak bör göras. Det Andra Kammarens Prot. 1910. Nr 21. 2</w:t>
        <w:br/>
        <w:br/>
        <w:t>kande kunna draga fram den slutsatsen, att det verkligen behöfs. Ty så svagt är enligt mitt förmenande betänkandet skrifvet, att utskottets majoritet innerst synes medgifva, att något bör göras. Då skulle, synes det mig, utskottet hafva kunnat gå med på den af herrar Lindhagen och Akerman afgifna reservationen och försökt att få Riksdagen att slå in på den vägen, nämligen att öfverflytta dessa religionsbrott till religionsfridsbrott. Detta var den utväg, som förra året på ett, som mig synes, synnerligen lyckligt sätt framkastades, ehuru, som sagdt, det bärande resonemang, som herr Thyrén framförde, genom hans utomordentliga vältalighet vände upp och ned på kammarens sunda instinkt, hvaraf resultatet blef ett bifall till herr von Schéeles yrkande.</w:t>
        <w:br/>
        <w:br/>
        <w:t>Nu föreligger också ett förslag till lag i Tyska riket, hvilket just visar på den väg, som reservanterna förra året företrädde. Detta lagförslag har till rubrik »Brott mot religionsutöfning», och jag ber att få besvära kammaren med att åhöra en öfversättning af tre paragrafer, som där förefinnas.</w:t>
        <w:br/>
        <w:br/>
        <w:t>8 155 lyder: Den, som offentligt och i argt uppsåt på ett hädiskt sätt lastar Gud, straffas med fängelse eller arrest i högst två år.</w:t>
        <w:br/>
        <w:br/>
        <w:t>Först och främst själfva rubriken: »brott mot religionsutöfning», men i öfrigt hela den anda, som genomgår detta lagförslag, skulle enligt min mening visa hän på en modernisering af vår nuvarande strafflag, som ju kan hälsas med tillfredsställelse af alla dem, som verkligen hafva den uppfattningen, att i vårt land samvetsfrihet och religionsfrihet böra finnas.</w:t>
        <w:br/>
        <w:br/>
        <w:t>Jag vet nu verkligen icke, hur det kommer sig, att utskottet icke velat gå med på detta. Antingen är det de obotfärdigas förhinder, hvilket jag icke vill tro, eller också är det den konservativa uppfattningen, att man genom dessa paragrafer, såsom de nu äro formulerade, skyddar någon för statens bestånd och folkets och samhällets lycka synnerligen dyrbar eller till och med nödvändig klenod. Det är möjligt, att de hafva denna uppfattning, och då får jag säga, att det är ganska bekvämt att hafva en sådan, och här kan jag, herr talman, icke underlåta att fästa mig vid en del uppfattningar, som gifvit sig uttryck i pressen angå-</w:t>
        <w:br/>
        <w:br/>
        <w:t>migt tidehvarf, och statsfarkosten kränger mellan bränningar och</w:t>
        <w:br/>
        <w:br/>
        <w:t>höga vågor, som vi icke förmå dämpa. Så är det, och det kon-</w:t>
        <w:br/>
        <w:br/>
        <w:t>statera vi alla, men sedan vi hafva gjort detta, skiljas våra vägar.</w:t>
        <w:br/>
        <w:br/>
        <w:t>Somliga vilja söka efter orsakerna till detta förhållande och vilja,</w:t>
        <w:br/>
        <w:br/>
        <w:t>sedan dessa blifvit utredda, söka råda bot på detta missförhållan-</w:t>
        <w:br/>
        <w:br/>
        <w:t>de genom att undanröja orsakerna, medan andra däremot anse</w:t>
        <w:br/>
        <w:br/>
        <w:t>någon utredning knappast behöflig, och när de möta orsakerna</w:t>
        <w:br/>
        <w:br/>
        <w:t>till dessa samhälleliga missförhållanden, rygga tillbaka för att göra</w:t>
        <w:br/>
        <w:br/>
        <w:t>något för deras undanröjande. I stället kasta de skulden på än</w:t>
        <w:br/>
        <w:br/>
        <w:t>den ena, än den andra, och bland annat gripas vi, som våga oss</w:t>
        <w:br/>
        <w:br/>
        <w:t>på sådana här kulturmotioner — om jag får använda ett så pass pretentiöst ord; jag menar därmed ej annat än sådana motioner,</w:t>
        <w:br/>
        <w:br/>
        <w:t>som röra vissa områden af vårt samhällslif, som man skulle kunna</w:t>
        <w:br/>
        <w:br/>
        <w:t>kalla för kulturella områden — gripas vi för hufvudet och kallas</w:t>
        <w:br/>
        <w:br/>
        <w:t>för upphofsmän till just dessa rörelser i samhällets olika lager;</w:t>
        <w:br/>
        <w:br/>
        <w:t>vi kallas för upphofemän därtill, därför att vi vilja afkristna sam-</w:t>
        <w:br/>
        <w:br/>
        <w:t>hället. Detta är nu devisen, på hvilken åtskilliga partier och</w:t>
        <w:br/>
        <w:br/>
        <w:t>fanatici här i landet peka, för att visa en af orsakerna till att</w:t>
        <w:br/>
        <w:br/>
        <w:t>det är så illa ställdt i eambället. Ja, jag skall ej ge mig in på</w:t>
        <w:br/>
        <w:br/>
        <w:t>detta, men tillåter mig att för att belysa frågan göra ett citat.</w:t>
        <w:br/>
        <w:br/>
        <w:t>Då förra riksdagen debatten i denna fråga var före, hade jag nöjet att till förmån för min uppfattning citera en gammal teologie professor, hvars anseende som vetenskapsman, människa och lärare är öfver allt beröm, nämligen aflidne professor Myrberg i Uppsala. Nu ber jag att få citera en annan präst. Det finnes en ung prästman i våra dagar, som utgifvit en bok »Vi unga präster». Ett referat af den skulle naturligtvis föra mig för långt, men herrarna kunna nog förstå, hvart han syftar, endast genom att taga del af innehållsförteckningen. Första afdelningen bär rubriken : Uppgörelse med dogmatismen — och kapitelrubrikerna äro följande: Dogmkristendomen är impopulär bland de kyrkliga — Dogmerna beröfva kyrkan stora fonder af varm religiositet — Dogmerna ha utestängt massor af människor från den enkla fromhet, som kunnat skänka deras lif styrka och ljus — Dogmerna äro den väsentliga grunden till arbetarklassens afkristnande — Dogmerna ha på indirekt sätt föranledt en oerhörd social försummelse — Dogmerna ha bidragit till sedernas förvildning genom att bortskymma en enkel, sedlig gudsfruktan — Dogmerna utgöra en fara för troslifvet — Dogmerna äro själfva människoverk.</w:t>
        <w:br/>
        <w:br/>
        <w:t>Det är, som sagdt, kapitelrubrikerna i bokens första afdelning. Det är den negativa delen af boken. Den positiva</w:t>
        <w:br/>
        <w:br/>
        <w:t>denne unge entusiastiske, varmt religiöse prästman att gifva något positivt i stället för de förtorkade dogmer, som han vill ha bort. Men efter denna lilla afvikning ber jag att närmare få citera, på hvad sätt han yttrar sig om själfva den s. k. afkristningen. Han säger på följande sätt: &gt;»Om något arbetareklassens afkristnande från Kristus kan man helt enkelt icke tala, redan därför att densamma aldrig i verklig mening samlats omkring honom. Det är dystert, det är förfärligt att uttala det, men det är dock så, att Jesu verkliga lif och lära är för hufvuddelen af vårt folk någonting obekant. Undervisning i en dogmatisk kristologi har för länge tråkat ut eleverna, uppväckt hos många af dem - förståndets reaktion och bortskymt den historiske Jesus. Det är ett drygt ansvar, kyrkan genom sin dogmatiska halsstarrighet ådragit sig. Det är icke fritänkare och gudsförnekare, som afkristna massorna. Det är de, som ständigt varna för afkristnandet, det är de som själfva raskt verkställa densamma.» — Jag vill naturligtvis ej, att herrarne skola säga, att detta är absolut riktigt, men det är dock ett betecknande tidens symptom, att en ung präst säger något sådant. Se vi nu i anslutning till just detta sista påstående, som genom att taga »fritänkare» och »gudsförnekare» — naturligtvis inom citationstecken — i försvar mot kyrkans dogmförkunnelse, ju kan synas ganska vågadt, se vi, hvad utskottet här säger, är det två ställen, jag ber att få fästa mig vid något närmare. Det ena är det, där utskottet säger: »Då, på sätt utskottet redan framhållit, här afsedda brott hufvudsakligen karakteriseras därigenom att de kränka andras religiösa tro, blir straffbarheten i väsentlig mån beroende af, hur djupt denna tro, objektivt bedömd, såras.» Det andra är: »Med hvad utskottet nu anfört har utskottet velat hänvisa därpå, att det icke synes lämpligt, att behålla straffskyddet mot ett offentligt kränkande af annans religiösa tro om Gud, men upphäfva skyddet för hvad som gifver denna tro dess egentliga innehåll och dess praktiska värde för den troende.»</w:t>
        <w:br/>
        <w:br/>
        <w:t>Ja, det är just det. Det är just detta, att man så lätt för på läpparne religiös tro och kristligt sinnelag, under det man i sitt stilla sinne ej tillerkänner sådan åt någon annan än sig själf. Jag tillåter mig verkligen fråga: Hvad menas med ”religiös tro” och hvad menas med 'tro på Gud? Jag är den siste att förneka, att människan har ett religiöst behof, men jag kan omöjligen gå in på, att detta, det sanna, äkta religiösa behofvet skall på något sätt kunna uppehållas med strafflagsparagrafer.</w:t>
        <w:br/>
        <w:br/>
        <w:t>Jag har i detta fall icke kunnat undgå att peka på ett kapitel i en af de mest intressanta böcker, jag för min del någonsin läst, »England och demokratismen» af professor Steffen. Han har där ett kapitel som heter: »Religionens utveckling», där han yttrar sig om fritänkeri och religion, visserligen på det ställe,</w:t>
        <w:br/>
        <w:br/>
        <w:t>som jag kommer till, hufvudsakligen citerande en engelsk social- 4ng. ändrad demokrat nämligen Bernhard Shaw, men enligt min mening gör JUKERE han det på ett sätt, att enhvar, som verkligen vågar sig på att slruglagön. läsa denna bok med allvar, skall förstå och måste säga, att hos — (Forts) den socialistiske fritänkaren finnes det mycket djupare religiös känsla, och att hans religiösa behof där tagit sig ett mycket vackrare uttryck än, jag vågar påstå, hos den allra ifrigaste kyrkobesökare. Han vill framhålla, denne socialistiske fritänkare, att det finnes två normer för de kristna religionerna; han skiljer dem genom att kalla den ena Christianity och den andra Crosstianity, som här öfversättas den ena med kristusläran och den andra med korsfästelseläran. »Den förra», läsa vi »d. v. s. den äkta, icke den officiella eller kyrkliga kristendomen, fordrar af syndare, att han skall upphöra att vara en syndare, att han skall bli en ny människa, som af inre drift gör det goda och skyr det onda.&gt; — &gt;Den falska», heter det längre ner, »den officiella, den kyrkliga kristendomen är helt och hållet Crosstianity, korsfästelselära», och han säger om den, han kallar äkta: »Det finns likväl en ädlare och djupare kristendom. Dess fundamentala trosartikel är den mänskliga jämlikhetens heliga mysterium. Den förbjuder all denna gagnlösa och dåraktiga hämnd, som så ofta hedras med benämningarna 'straff' och ”rättvisa. Men — det är korsfästelse-kristendomen, som bekännes och skyddas af stat och kyrka. För den andra kristendomen ha vi strafflagens paragrafer och tukthusets celler i beredskap.&gt; Det finnes sålunda, och det bär den unge prästmannens ord också vittne om, olika uppfattningar om, hvad som verkligen är kristendom, liksom det finnes olika uppfattningar om hvad som är religiös tro. Jag vågar hoppas, att om de ärade medlemmarne at denna kammare, som äro mina motståndare i min motionsfråga, skulle verkligen på allvar vilja öfverväga, huruvida ej en ateist, en s. k. gudsförnekare, kan hafva och till äfventyrs också har en verkligt religiös känsla, ett djupt religiöst behof, jag vågar hoppas, att de flesta af dem verkligen skulle komma till den uppfattningen, att de måste medgifva detta, och jag för min del skall ingalunda tveka att instämma i ett citat af professor Steffen själf, just med tanke på, att det förefaller, som om så många människor nu för tiden skulle anse sig nästan ha rättighet att a priori säga: »Den har studerat naturvetenskap, han har t. ex. skrifvit en bok om Darwin, föreläst om utvecklingsläran, en sådan måste vara ateist, en sådan kan ej ha någon religion, saknar hvarje djupare behof af religiöst lif», just med hänsyn till detta vågar jag besvära kammaren med detta citat: »Naturvetenskapen är befriaren från vidskepelse och annan intellektuell primitivitet. Men det är en ny intellektuell primitivitet att tro, att naturvetenskapen förmår ensam fylla det tomrum i våra andliga besittningar, som den naturvetenskapliga kritiken af religionens och moralens gamla läror ger upphof till. Detta</w:t>
        <w:br/>
        <w:br/>
        <w:t>Jag tror för min enskilda del, att man får anse, att allt mänskligt studium och allt mänskligt vetande, och ej minst det naturvetenskapliga, bör vara det fotfäste, på hvilket känslan ställer sig, då det gäller att tillfredsställa det religiösa behofvet, som tränger sig på en inför tillvarons problem. För min del finner jag intet vackrare sätt att beteckna denna religiösa känsla än genom att citera en vers af Geijer, som enligt min mening ger ett uttryck för detta dunkelt kända behof inför lifvets och evighetens gåta, som man ju kan likställa med religion, och det är den vers han har i sin lilla dikt »Stilla skuggor»:</w:t>
        <w:br/>
        <w:br/>
        <w:t>o, låt aningens facklor glimma!</w:t>
        <w:br/>
        <w:br/>
        <w:t>När det skymmer låt mig då förnimma hoppets saliga ljusa frid.»</w:t>
        <w:br/>
        <w:br/>
        <w:t>Jag tror, att äfven en person som ej precis hvarje söndag besöker sitt bönhus eller sin kyrka, kan få ha rättighet att påstå, att han genom sin uppfattning af hvad som rör sig omkring honom här i världen och genom sin uppfattning om hvad som menas med religion verkligen har rättighet att kalla sig religiös.</w:t>
        <w:br/>
        <w:br/>
        <w:t>Jag kan sålunda, som herrarna väl förstå, omöjligen gå in på, att endast en viss åskådning skall ha rätt att kallas religiös, och ännu mindre gå in på, att endast en viss religiös åskådning skall vara skyddad för vissa straffbestämmelser, och det är därför, som jag omöjligen kan tro, att i vår tid, då utvecklingen i alla fall trots alla hämmande makter går framåt, den fråga, vi för närvarande resonera om, skall vara dödsdömd. Nej, mina herrar, den kommer upp, varen säkra på det, till dess den blir löst i den riktning, åtminstone tills vidare, som reservanterna uttalat. Men jag skall ej förneka, att jag för min del, och jag tror många med mig, syfta längre med vår motion i detta fall, än hvad motionen i och för sig säger; vi syfta på inhiberandet af religionsstraff först och främst; men vi anse dessutom och framförallt, att det är ett led i det upplysningsarbete, som många kalla afkristningsarbete, för hvilket jag och många med mig försöka att ibland göra oss till representanter. Då ber jag att, innan jag slutar, få göra den frågan till mina högt ärade kamrater här i kammaren: Ar det verkligen förhållandet, kan hvar och en säga utan att blinka, att den religionsutöfning, som är fri här hos oss, och som tar sig många olika former, eller samhället snarare, ej är i behof af att som motvikt mot denna religionsutöfning ha ett på verklig frihet grundadt upplysningsarbete? Jag vill erinra om sådana ohyggligt vidriga utslag af religiös fanatism som de, hvilka utmynna i tungomålstalande. Också</w:t>
        <w:br/>
        <w:br/>
        <w:t>ber jag att få peka på den enligt min mening högst intressanta 4ng. ändrad enquéte, som en stockholmstidning förra året utsände och som Jydelse 15 är sammanfattad i en liten broschyr, »Djäfvulsstriden». Herrarna sirag lagen. må säga hvad Ni vilja, men nog må det väl förlåtas dem, som = (Forts.) icke ha precis samma uppfattning, som här på många ställen gör sig gällande från representanter såväl för statskyrkan som de frireligiösa, om de bli betänksamma, när de läsa den läkares ord, hvilka också här fått plats i ett svar till hofpredikanten Mazer. Denne senare säger nämligen, att en hospitalsläkare påstått, att om man besöker ett dårhus och tar reda på patienternas sjukhistoria, så »finns icke en skugga af tvifvel om en personlig ond makt» — mot detta säger vår läkare: »'Ty säkert är, att herr Mazer eljest får leta med ljus och lykta bland Sveriges och andra länders läkare för att finna någon, som står på en sådan medeltidsmässig ståndpunkt, att han i sinnessjukdomarna och de sinnesrubbade patienternas sjukhistoria ser ett bevis på djäfvulens existens. Men väl skulle herr Mazer af samtliga hospitalsläkare och andra läkare kunna få veta, att det just är religonsgrubbel och framför allt därvid denna ohyggliga lära om en personlig djäfvul med tillhörande helvete, som bragt tusentals människor in i vansinnets natt.» Det är dock ett uttalande från en läkare, mina herrar, och det förefaller mig just därför, som om man hade rättighet att få se denne fråga icke blott som en ändring i en strafflagsparagraf, hvilket ju är viktigt nog, utan äfven som ett led i hela det upplysningsarbete, vårt folk säkerligen alltjämt behöfver. Till sist, herr talman, skulle jag be att få anhålla om, att denna motion icke betraktas som någon partimotion. Det är ej rätt att säga, att därför att en medlem af ett parti frambär sin</w:t>
        <w:br/>
        <w:br/>
        <w:t>mening — jag för min del anser det vara en af de allra största rättigheter, en riksdagsman har, att framlägga motionsvis de frågor, som han anser vara af största betydelse för landet — att,</w:t>
        <w:br/>
        <w:br/>
        <w:t>därför att en enskild partimedlem gör detta, liksom sätta etikett på det parti, han tillhör. Det skulle kunna sägas mycket om den trafik, som för närvarande i det afseendet bedrifves rundt om i landet; men jag ville använda detta tillfälle för att förklara, att det är just för att motionen icke på något sätt skulle få sken af att vara partimotion, som jag denna riksdag framlämnat den ensam. Jag vet också, och det tillåter jag mig säga, att det är ofantligt många i det parti, jag tillhör, som icke dela min uppfattning i många af de frågor, jag här berört, ehuruväl de torde dela den i afseende å själfva syftet.</w:t>
        <w:br/>
        <w:br/>
        <w:t>Slutligen skulle jag vilja säga en sak till. En stor författare i vårt land, Verner von Heidenstam, har nyligen tagit upp frågan om 80-talets radikalism som något utlefvadt, som något som fullkomligt spårlöst gått förbi i samhällsutvecklingen. Jag vågar betvifla den satsen. Jag tror nog, att 80-talets radikalism</w:t>
        <w:br/>
        <w:br/>
        <w:t>ett begrepp, som åtminstone, för så vidt jag minnes, var ett af de allra viktigaste, om hvilket 80-talets radikaler slöto sig. Det var nämligen begreppet tolerans. Och skulle det vara förmätet att hoppas, att icke snart nog i Andra kammaren den timman skulle slå, då man såge på en motion sådan som denna just i toleransens tecken? Jag tror, att man härmed verkligen skulle komma närmast den kanske förnämsta etiska maxim, som den kristna religionens stiftare uttalat: »Det som I viljen, att märiniskorna skola göra Eder, det gören I ock dem.»</w:t>
        <w:br/>
        <w:br/>
        <w:t>| Jag tror, att det vore ett utslag af verklig, äkta kristendom, om kammaren beslöte i den af herrar Åkerman och Lindhågen afgifna reservationens riktning, till hvilken jag, herr talman, till sist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1130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