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1139</w:t>
      </w:r>
    </w:p>
    <w:p>
      <w:r>
        <w:rPr>
          <w:b/>
        </w:rPr>
        <w:t xml:space="preserve">Datum: </w:t>
      </w:r>
      <w:r>
        <w:t>1910-04-08</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Endast några ord. En talare yttrade nyligen, att det finns andra än de frireligiösa, som, om utskottets förslag skulle gå igenom, skulle bli satta i tillfälle att vinna inträde vid våra seminarier, sådana, som sakna allt religiöst intresse, till och med utprägladt antireligiösa. Däri har han säkerligen fullkomligt rätt. Jag förstår, att han härmed velat säga, att därest vi nu skulle öppna portarna på det sätt utskottet gifvit anvisning till, så skulle man få sådana lärare i våra folkskolor, som icke alls intresserade sig för någon religionsundervisning i skolorna. Men de önskemålen uppnår man icke med de bestämmelser, som vi nu ha haft, d. v. s. med detta villkor, att man skall ha begått Herrens nattvard för att erhålla inträde vid seminariet. Det har säkerligen icke kunnat förhindras, att många ännu den dag, som i dag är, kunnat erhålla rätt att hålla skola, ehuru de säkerligen icke äro mycket religiöst sinnade. De få alltså äfven undervisa i kristendom i våra folkskolor, och jag kan icke fatta, att man med de bestämmelser, som här föreslagits af reservanterna, skall kunna vinna något bättre resultat.</w:t>
        <w:br/>
        <w:br/>
        <w:t xml:space="preserve">Jag ber i detta sammanhang få omnämna ett par fall, som nyligen inträffat hemma i min trakt. Där var det nämligen en ung man och en ung </w:t>
      </w:r>
      <w:r>
        <w:rPr>
          <w:b/>
        </w:rPr>
        <w:t>kvinna¹</w:t>
      </w:r>
      <w:r>
        <w:rPr>
          <w:b w:val="0"/>
        </w:rPr>
        <w:t>, som beslutat sig för att söka inträde vid seminariet. De voro icke döpta och icke konfirmerade och hade icke begått Herrens nattvard. De gingo emellertid till prästen, de läto döpa sig, de läto konfirmera sig och de begingo Herrens nattvard. Och så var då vägen öppen för dem att vinna inträde vid seminariet. Jag vill icke döma människornas inre öfvertygelse och uppfattning, men för min del är jag af den meningen, att det näppeligen var något inre behof, som dref dem att gå till prästen och låta döpa sig, konfirmera sig och begå Herrens nattvard. Sannolikt var väl det det förnämsta motivet, att de ville vinna inträde vid seminariet, och säkerligen resonerade de så här: det gör ingenting, att jag underkastar mig dessa bestämmelser, ty därmed har jag ju</w:t>
        <w:br/>
        <w:br/>
        <w:t xml:space="preserve">komma in i ett seminarium, och efter att ha lyckats genomgå seminariet, står vägen sedan öppen för mig att söka lärareplats. — Under sådana förhållanden anser jag, att man med de bestämmelser, som reservanterna föreslagit, icke heller kan utestänga våra unga män och </w:t>
      </w:r>
      <w:r>
        <w:rPr>
          <w:b/>
        </w:rPr>
        <w:t>kvinnor¹</w:t>
      </w:r>
      <w:r>
        <w:rPr>
          <w:b w:val="0"/>
        </w:rPr>
        <w:t>, som vilja vinna inträde vid våra seminarier. Men däremot är jag af den öfvertygelsen, att man genom ett sådant sätt gifver anledning till och skapar skrymteri i religiösa frågor. Kanske skulle vi, om vi den dag i dag är ginge att undersöka, hurudana förhållandena äro med de lärare, som undervisa i våra folkskolor, om de bekänna sig till den evangelisk-lutherska läran af ren öfvertygelse och om de äro religiöst intresserade, kanske skulle vi då, det fruktar jag, om vi fasthölle vid dessa villkor för deras rätt att utöfva lärarekallet, få stänga många af våra folkskolor. — Vi ha en annan bestämmelse, en bestämmelse för våra präster, att de skola predika i öfverensstämmelse med den Augsburgska bekännelsen och de symboliska böckerna, men jag vill fråga, om det finnes många präster i vårt land, som helt och hållet följa dessa bestämmelser. Och om det nu så vore, att man konsekvent ville hålla på de där bestämmelserna, så skulle kanske många af våra kyrkor få lof att stängas för en del präster. Jag håller fortfarande på, att det beslut, hvartill utskottet kommit, är ett af de lyckligaste, som vi för närvarande kunna hoppas uppnå, och jag ber fortfarande få yrka bifall till utskottets förslag, under uttalande af den förhoppningen, att åtminstone denna kammare också måtte kunna biträda utskottets förslag.</w:t>
      </w:r>
    </w:p>
    <w:p>
      <w:pPr>
        <w:pStyle w:val="Heading2"/>
      </w:pPr>
      <w:r>
        <w:t>2. Erik Räf (Lantmanna- och borgarepartiet inom andrakammaren, man)</w:t>
      </w:r>
    </w:p>
    <w:p>
      <w:r>
        <w:rPr>
          <w:b w:val="0"/>
        </w:rPr>
        <w:t>Inom nykterhetsarbetet har jag alltid ansett de inkonsekvenser, som där ofta förekomma, såsom de allra farligaste, och därnäst har jag betraktat den s. k. kombinationspolitiken såsom en bland de farligaste saker, som nykterhetsvännerna kunna taga sig för.</w:t>
        <w:br/>
        <w:br/>
        <w:t>I afseende på den första saken, nämligen inkonsekvenser, har jag näppeligen sett så stora som i föreliggande fall. Om man nämligen jämför motionen med det föreliggande utskottsbetänkandet, så blir inkonsekvensen så mycket mer i ögonen fallande, som just samme herr Kjellberg har undertecknat såväl motionen som utskottsbetänkandet, det senare i egenskap af utskottets ordförande. Man hade naturligen väntat sig, att utskottets ordförande åtminstone skulle hafva reserverat sig mot något af hvad utskottet här framställt emot hans egen motion. Men det egendomliga i saken är, att man icke finner en enda rad sådan reservation. Motionen var af-</w:t>
        <w:br/>
        <w:br/>
        <w:t>fattad den 6 februari, och utskottets utlåtande är utfärdadt den 1 april. Det borde icke hafva behöft blifva så förfärligt stora tankeskiftningar på en månad 22 dagar eller en månad 23 dagar. Och man frågar sig verkligen, hvilka orsakerna kunna vara till ett så fullständigt frångående på en månad 22 dagar af de åsikter, han hade den 6 februari.</w:t>
        <w:br/>
        <w:br/>
        <w:t>Motionen »fastslår&gt; — det är utskottets egna ord jag följer — motionen »fastslår&gt;, »att alla förslag, syftande till genomgripande reformering af bestämmelserna om alkoholhaltiga dryckers utskänkning och utminutering, ovillkorligen skola indragas uti utredningen om totalförbud».</w:t>
        <w:br/>
        <w:br/>
        <w:t>Det är att märka, att utskottet begagnar ett så starkt uttryck som »fastslår». Om man nu frågar, hvad som skulle fastslås, ber jag, då tiden är mycket dyrbar, att få hänvisa till motionens kläm. Jag vill icke läsa upp den för att icke upptaga tiden. Bland dessa redan framställda och andra förslag insätter emellertid motionären herr Kjellberg den 6 februari det kommunala vetot som ett bland de viktigaste. Men hvad herr Kjellberg sålunda den 6 februari ovillkorligen fastslår, det förklarar han redan den 1 april — ett egendomligt datum för öfrigt för denna sak — vara »icke behöfligt eller ens tillrådligt&gt;. Det skall jag säga, att hvad som fastslås den 6 februari, det är ord att taga i, då det heter därom redan den 1 april, att hvad man den 6 februari har föreslagit, det är »icke behöfligt eller ens tillrådligt&gt;. Detta må nu kallas hvad som helst, kanske kallas det vetenskaplighet eller något dylikt, eftersom detta uttryck icke brukar vara ovanligt på det hållet. Jag lämnar det för öfrigt därhän. Men det konstaterar jag, att det är synnerligen skadligt för nykterhetssaken, att den behandlas på detta sätt. Och det blir icke mindre skadligt, då den på detta sätt behandlas af mycket framstående talare, mycket framstående nykterhetsmän, personer, som t. o. m. framskjutas af stora nykterhetsorganisationer för att hålla föredrag i landet och undervisa. Det bör väl ursäktas, om man en smula börjar fundera på, hvad som blifvit framställdt, då det därom heter efter en månad och 22 dagar, att det är förkastansvärdt.</w:t>
        <w:br/>
        <w:br/>
        <w:t>Det är äfven en annan anmärkning, som jag vill göra i fråga om detta ofta omskrifna s. k. lokala veto. Därom heter det i utskottsbetänkandet:</w:t>
        <w:br/>
        <w:br/>
        <w:t>»Mången, som alldeles icke önskar eller gillar ett totalförbud, finner det kanske fullkomligt i sin ordning, att kommunens myndiga medlemmar få genom personlig omröstning afgöra, huruvida försäljning af alkoholdrycker må försiggå i kommunen.»</w:t>
        <w:br/>
        <w:br/>
        <w:t>Det är den ena parten, som säger detta. — Den andra parten säger så:</w:t>
        <w:br/>
        <w:br/>
        <w:t>»Mången åter, som bestämdt önskar totalförbud, finner kanske betänkligt att i en enstaka kommunal fråga göra omröstningen oberoende af förmögenhet.»</w:t>
        <w:br/>
        <w:br/>
        <w:t>Nu är det att märka, att liksom motionären den 6 februari så mycket intresserar sig för detta s. k. lokala veto, att det för all</w:t>
        <w:br/>
        <w:br/>
        <w:t>del borde indragas i den stora undersökningen, så har han med Angåendealkodenna motivering nu sagt, att det icke behöfver indragas, oaktadt holmistörere han här framställer två stora parter af svenska folket, som stå i ”” (Forts. ” mycket stridiga tankar om detta lokala veto.</w:t>
        <w:br/>
        <w:br/>
        <w:t>Vidare är därvid att märka, hvad som säges i det s. k. utkastet till det program, som han anvisar i sin motion. Utredningen skall enligt detta omfatta, bland annat, alkoholmissbrukets skadliga följder, utredning angående totalförbud, utredning angående andra medel »att motarbeta alkoholmissbruket». Och då sätter han i första rummet »Det kommunala vetot&gt;. Så specificerar han hvad man skall utreda i denna fråga, nämligen: »Hvad vill man därmed vinna? Skillnaden mellan detta och totalförbud? Hvilka brister vidlåda detta system!» Jag skulle vilja tillägga: »Hvad är verkligen sanningen om detta system, det amerikanska s. k. lokala vetot?» Och jag undrar, om det ej skulle vara intressant för hela Riksdagen och för nykterhetsvännerna i Andra kammaren att en gång få veta sanningen beträffande detta amerikanska s. k. lokala veto, ty vore det sådant, som det beskrifves från det ena hållet, skulle jag fortfarande intressera mig mycket för det, ehuru det har mycket i sin bakficka, såsom jag kan förstå, hvilket icke är eftersträfvansvärdt för svenska folket. Det skulle äfven vara intressant att få utrönt, i hvilket förhållande per capita lokalt veto står till omröstning efter den nuvarande röstgrunden i kommunerna.</w:t>
        <w:br/>
        <w:br/>
        <w:t>Oaktadt allt detta synes stå så klart för motionären den 6 februari, afstyrker han alltsammans den 1 april!</w:t>
        <w:br/>
        <w:br/>
        <w:t>Så finner jag en annan sak, som är lika betänklig ur nykterhetsvänlig synpunkt. I motionen säger herr Kjellberg, att det lokala vetot afser »att motarbeta alkoholmissbruket&gt;, men i utskottsutlåtandet gör han det till en vanlig rösträttsfråga. Jag skall läsa upp själfva uttrycket, så att herrarna själfva få höra det: »Denna fråga rör sig sålunda hufvudsakligen om den kommunala själfstyrelsen.&gt; Jag har aldrig hört, men väl tänkt, att det förhåller sig på det sättet med frågan, att den väsentligen styres af politiska skäl, hvilka väl hållas fördolda under valtiderna, då de i valprogrammet från liberalt håll kallas nykterhetsfrågor. Här i detta fall framdragas de, och det säges om denna fråga, att den rör sig »hufvudsakligen om den kommunala själfstyrelsen». Jag må säga, att jag näppeligen sett något fall, då den s. k. nykterhetskombinationspolitiken framvisat en sådan praktblomma på hvad den egentligen innebär. Och jag må å andra sidan säga, att man får ursäkta oss en liten smula, sedan vi fått se detta, om vi icke utan vidare pröfning äro färdiga att gå med på hvad man från liberalt håll kallar »lokalt veto».</w:t>
        <w:br/>
        <w:br/>
        <w:t xml:space="preserve">Det skulle vara synnerligen angenämt, om man under det kommande året och i synnerhet under de politiska agitationer, som under nämnda år komma att igångsättas, finge höra samma öppna språk ute i landet, att afsikten med detta lokala veto från liberalt håll innebär, nämligen att få en kommunal själfstyrelse, grundad på, att alla till myndig ålder komna män och </w:t>
      </w:r>
      <w:r>
        <w:rPr>
          <w:b/>
        </w:rPr>
        <w:t>kvinnor¹</w:t>
      </w:r>
      <w:r>
        <w:rPr>
          <w:b w:val="0"/>
        </w:rPr>
        <w:t xml:space="preserve"> skola äga lika afgörande i kommunens angelägenheter. Med detta utskottsutlåtande</w:t>
        <w:br/>
        <w:br/>
        <w:t>vända sig från det af det liberala partiet framförda talet om lokalt veto och i stället på allvar tänka på en annan fråga, nämligen verkligt lokalt veto, grundadt på nuvarande kommunala rösträtt, hvarom jag framburit en motion i Riksdagen, hvilken motion behandlades här för åtta dagar sedan. Jag vågar verkligen rekommendera herrar ledamöter af Andra kammaren att allvarligt taga i öfvervägande, huruvida vi icke böra på denna väg snarast möjligt få ett verkligt lokalt veto till stånd, grundadt på den nuvarande kommunala rösträtten.</w:t>
        <w:br/>
        <w:br/>
        <w:t>Herr talman! Jag har naturligtvis icke något yrkande att göra, men jag beklagar i nykterhetsvännernas intresse, att detta utskottsbetänkande i sin nuvarande form skall gå till Första kammaren för att där behandlas. Jag tror, att man icke får kalla Första kammaren så alldeles oresonlig, ifall den med detta utskottsutlåtande framför sig skulle draga litet på munnen åt dem, som mera intimt haft med detsamma att göra. Jag tror också, att de liberala tidningar — långt ifrån alla — som mellan sina brännvinsannonser bruka gifva Första kammaren förfärliga gliringar för, att den icke är nog nykterhetsvänlig, böra hålla inne en liten smula med det språket och icke ropa alltför högt. Det kan tydligen gifvas äfven andra orsaker till att Första kammaren tar sig en funderare, då man ser, att hvad som begärdes den 6 februari den 1 april kastas bakom ryggen. Jag beklagar den förlust, som nykterhetssaken — jag talar icke om annat -— lidit genom ett dylikt utskottsutlåtande.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1139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