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140</w:t>
      </w:r>
    </w:p>
    <w:p>
      <w:r>
        <w:rPr>
          <w:b/>
        </w:rPr>
        <w:t xml:space="preserve">Datum: </w:t>
      </w:r>
      <w:r>
        <w:t>1910-06-04</w:t>
      </w:r>
    </w:p>
    <w:p>
      <w:r>
        <w:rPr>
          <w:b/>
        </w:rPr>
        <w:t xml:space="preserve">Kammare: </w:t>
      </w:r>
      <w:r>
        <w:t>Första kammaren</w:t>
      </w:r>
    </w:p>
    <w:p>
      <w:r>
        <w:rPr>
          <w:b/>
        </w:rPr>
        <w:t xml:space="preserve">Antal yttranden: </w:t>
      </w:r>
      <w:r>
        <w:t>2</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Samuel Clason (Det förenade högerpartiet, man)</w:t>
      </w:r>
    </w:p>
    <w:p>
      <w:r>
        <w:rPr>
          <w:b w:val="0"/>
        </w:rPr>
        <w:t xml:space="preserve">Den motion, som jag här har väckt, berör ett förhållande i vår skattelagstiftning, som enligt min uppfattning måste betecknas såsom ett skriande missförhållande, nämligen det förhållande att faktiskt skattelagstiftningen premierar de lösa förbindelserna på äktenskapets bekostnad. Jag ber att få ådagalägga detta med ett kort exempel. Jag tager två personer, en man och en </w:t>
      </w:r>
      <w:r>
        <w:rPr>
          <w:b/>
        </w:rPr>
        <w:t>kvinna¹</w:t>
      </w:r>
      <w:r>
        <w:rPr>
          <w:b w:val="0"/>
        </w:rPr>
        <w:t>, hvardera med 800 kronors inkomst. Om de lefva i konkubinat, blir deras kronoskatt 3 kronor och kommunalskatten efter 6 kronor per bevillningskrona 18 kronor, summa gemensam skatt 21 kronor. Om de åter ingå äktenskap med hvarandra, blir under samma förhållande skatten icke mindre än 77 kronor, således en oerhörd skillnad.</w:t>
        <w:br/>
        <w:br/>
        <w:t xml:space="preserve">Att detta förbållande äfven, såsom jag framhållit, inverkar därhän att premiera de lösa förbindelserna, därpå finnas åtskilliga exempel, och jag har just i dagarna erhållit del af ett bref från en person i hufvudstadens närhet, som drager fram två mycket drastiska exempel. Det ena gäller två personer, som sammanlefde med hvarandra och som af honom uppmanats att ingå lagligt äktenskap. De svarade: det kunna vi icke göra, ty under sådana förhållanden kommer vår skatt att stiga med omkring 100 kronor. Och detta var på en inkomst af 1,900 kronor! Det är alldeles naturligt, att sådant skall verka hämmande på förbindelsens legaliserande. Det andra exemplet gällde en person, som af misstag fått sin sammanlefverska antecknad på mantalsförteckningen såsom sin </w:t>
      </w:r>
      <w:r>
        <w:rPr>
          <w:b/>
        </w:rPr>
        <w:t>hustru²</w:t>
      </w:r>
      <w:r>
        <w:rPr>
          <w:b w:val="0"/>
        </w:rPr>
        <w:t>. Han protesterade då däremot, emedan detta skulle betydligt öka hans skatt, och han fick också ändring. Att detta missförhållande existerar beror därpå, att tidigare skattelagstiftning utgått från hushållet såsom enhet och aldrig tänkt sig, att dessa lösa förbindelser skulle taga en sådan omfattning, som de faktiskt gjort. Jag erinrar om de s. k. »Stockholmsäktenskapen&gt; och att antalet oäkta barn i Stockholm, om jag ej misstar mig, uppgår till omkring 36 4, af hela antalet födda. HSaledes tror jag verkligen, att här råder ett missförhållande, som man bör göra något emot.</w:t>
        <w:br/>
        <w:br/>
        <w:t>Utskottet har nu ställt sig välvilligt mot motionen, men i alla fall afstyrkt densamma. Jag tror dock att det icke är riktigt, då utskottet därvidlag så godt som uteslutande fäst sig vid den kommunala beskattningen, ty såsom jag i motionen påvisat gäller samma sak äfven om den nya inkomstskattelagen. Två personer med 750 kronors</w:t>
        <w:br/>
        <w:br/>
        <w:t>inkomst äro skattefria, men om de ingå äktenskap, få de en inkomstskatt å cirka 15 kronor. Det är klart att om man sedan bygger en annan skattelagstiftning på denna inkomstskatt och anordnar den i</w:t>
        <w:br/>
        <w:br/>
        <w:t>proportion med denna, kommer missförhållandet ännu mer att stiga, kvens bidra- Och då utskottet vidare söker trösta mig därmed, att den kommunalagande oegent-</w:t>
        <w:br/>
        <w:br/>
        <w:t>beskattningens beroende af den allmänna bevillningen torde komma att inom en ej alltför aflägsen framtid upphöra, och att man då skulle utan skrifvelse taga hänsyn till det af mig påpekade förhållandet, undrar jag ändå, om icke denna framtids närhet i alla fall kan anses ganska omtvistad. Och då det icke kan bestridas, att här ett missförhållande föreligger, skall jag, helst jag vet, att saken kommer att belysas äfven af andra, som äro mera sakkunniga på detta område, be att få yrka bifall till min motion.</w:t>
      </w:r>
    </w:p>
    <w:p>
      <w:pPr>
        <w:pStyle w:val="Heading2"/>
      </w:pPr>
      <w:r>
        <w:t>2. Herman Lamm (–, man)</w:t>
      </w:r>
    </w:p>
    <w:p>
      <w:r>
        <w:rPr>
          <w:b w:val="0"/>
        </w:rPr>
        <w:t>Jag anser mig pliktig att instämma i det yrkande, som den siste talaren gjorde, och detta så mycket mer, som jag alldeles oberoende af motionen har erfarenhet af de missförhållanden, han här motionsvis påpekat.</w:t>
        <w:br/>
        <w:br/>
        <w:t xml:space="preserve">I början af detta år kom till mig en medelklassens </w:t>
      </w:r>
      <w:r>
        <w:rPr>
          <w:b/>
        </w:rPr>
        <w:t>kvinna¹</w:t>
      </w:r>
      <w:r>
        <w:rPr>
          <w:b w:val="0"/>
        </w:rPr>
        <w:t xml:space="preserve"> — jag tror </w:t>
      </w:r>
      <w:r>
        <w:rPr>
          <w:b/>
        </w:rPr>
        <w:t>hon²</w:t>
      </w:r>
      <w:r>
        <w:rPr>
          <w:b w:val="0"/>
        </w:rPr>
        <w:t xml:space="preserve"> var anställd i en butik — 1 mycket upprördt tillstånd öfver den kommunala skattesedel </w:t>
      </w:r>
      <w:r>
        <w:rPr>
          <w:b/>
        </w:rPr>
        <w:t>hon²</w:t>
      </w:r>
      <w:r>
        <w:rPr>
          <w:b w:val="0"/>
        </w:rPr>
        <w:t xml:space="preserve"> hade fått. </w:t>
      </w:r>
      <w:r>
        <w:rPr>
          <w:b/>
        </w:rPr>
        <w:t>Hon²</w:t>
      </w:r>
      <w:r>
        <w:rPr>
          <w:b w:val="0"/>
        </w:rPr>
        <w:t xml:space="preserve"> förklarade, att </w:t>
      </w:r>
      <w:r>
        <w:rPr>
          <w:b/>
        </w:rPr>
        <w:t>hennes²</w:t>
      </w:r>
      <w:r>
        <w:rPr>
          <w:b w:val="0"/>
        </w:rPr>
        <w:t xml:space="preserve"> fästman och </w:t>
      </w:r>
      <w:r>
        <w:rPr>
          <w:b/>
        </w:rPr>
        <w:t>hon²</w:t>
      </w:r>
      <w:r>
        <w:rPr>
          <w:b w:val="0"/>
        </w:rPr>
        <w:t xml:space="preserve"> hade mycket små inkomster, men de hade kunnat reda sig hvar för sig, och deras skatter voro mycket små. Så hade </w:t>
      </w:r>
      <w:r>
        <w:rPr>
          <w:b/>
        </w:rPr>
        <w:t>hon²</w:t>
      </w:r>
      <w:r>
        <w:rPr>
          <w:b w:val="0"/>
        </w:rPr>
        <w:t xml:space="preserve"> till slut låtit öfvertala sig att gifta sig, och sedan de det gjort, hade de fått skatter, som de ansågo sig på inga villkor kunna betala. Och slutresonemanget var det, att hade </w:t>
      </w:r>
      <w:r>
        <w:rPr>
          <w:b/>
        </w:rPr>
        <w:t>hon²</w:t>
      </w:r>
      <w:r>
        <w:rPr>
          <w:b w:val="0"/>
        </w:rPr>
        <w:t xml:space="preserve"> vetat detta, hade </w:t>
      </w:r>
      <w:r>
        <w:rPr>
          <w:b/>
        </w:rPr>
        <w:t>hon²</w:t>
      </w:r>
      <w:r>
        <w:rPr>
          <w:b w:val="0"/>
        </w:rPr>
        <w:t xml:space="preserve"> visst icke gift sig. Några dagar därefter kom en kamrat inom stadsfullmäktige, som är mycket förfaren på detta område (han är ordförande i taxeringsnämnd) och fäste min uppmärksamhet på huru oegentligt det är ställdt med afseende på taxering af gifta </w:t>
      </w:r>
      <w:r>
        <w:rPr>
          <w:b/>
        </w:rPr>
        <w:t>kvinnor¹</w:t>
      </w:r>
      <w:r>
        <w:rPr>
          <w:b w:val="0"/>
        </w:rPr>
        <w:t>, såsom förhållandena nu gestalta sig, och satte i fråga, om jag icke funne lämpligt att väcka en motion inom Riksdagen i denna fråga; och så kom herr Clasons motion.</w:t>
        <w:br/>
        <w:br/>
        <w:t xml:space="preserve">Jag her att få fästa herrarnas uppmärksamhet på att här föreligger ett ganska allvarsamt spörsmål. Enligt bevillningsförordningen lämnas på en inkomst, som går upp till 1,800 kronor, äfven när den representerar tvenne makars sammanlagda inkomst, icke något bevillningsfritt afdrag. Nu arbetar en </w:t>
      </w:r>
      <w:r>
        <w:rPr>
          <w:b/>
        </w:rPr>
        <w:t>kvinna¹</w:t>
      </w:r>
      <w:r>
        <w:rPr>
          <w:b w:val="0"/>
        </w:rPr>
        <w:t xml:space="preserve"> på en fabrik och bar en inkomst af icke fullt 800 kronor. Så gifter </w:t>
      </w:r>
      <w:r>
        <w:rPr>
          <w:b/>
        </w:rPr>
        <w:t>hon²</w:t>
      </w:r>
      <w:r>
        <w:rPr>
          <w:b w:val="0"/>
        </w:rPr>
        <w:t xml:space="preserve"> sig med en man, hvars inkomster uppgå till något öfver 1,000 kronor, så att deras sammanlagda inkomster uppgå till 1,800 kronor. </w:t>
      </w:r>
      <w:r>
        <w:rPr>
          <w:b/>
        </w:rPr>
        <w:t>Hon²</w:t>
      </w:r>
      <w:r>
        <w:rPr>
          <w:b w:val="0"/>
        </w:rPr>
        <w:t xml:space="preserve"> fortsätter med sitt arbete och har bredvid sig sin gamla kamrat, som har samma inkomst. Den i Stockholm utgående direkta skatten till kronan och kommunen jämte afgifter till prästerskapet och kyrkan utgör omkring 8 4 af inkomsten, och har således den ogifta </w:t>
      </w:r>
      <w:r>
        <w:rPr>
          <w:b/>
        </w:rPr>
        <w:t>kvinnan¹</w:t>
      </w:r>
      <w:r>
        <w:rPr>
          <w:b w:val="0"/>
        </w:rPr>
        <w:t xml:space="preserve"> med 800 kronors inkomst och 650 kronors bevillningsfritt afdrag att betala en skatt uppgående till 12 kronor, men </w:t>
      </w:r>
      <w:r>
        <w:rPr>
          <w:b/>
        </w:rPr>
        <w:t>hennes²</w:t>
      </w:r>
      <w:r>
        <w:rPr>
          <w:b w:val="0"/>
        </w:rPr>
        <w:t xml:space="preserve"> kamrat, som är gift, får erlägga en skatt af cirka 70 kronor. För folk med mycket små inkomster är det således nödvändigt för att undvika svåra skatter att de draga sig fram mannen för sig och </w:t>
      </w:r>
      <w:r>
        <w:rPr>
          <w:b/>
        </w:rPr>
        <w:t>kvinnan¹</w:t>
      </w:r>
      <w:r>
        <w:rPr>
          <w:b w:val="0"/>
        </w:rPr>
        <w:t xml:space="preserve"> för sig. Jag antager, att en </w:t>
      </w:r>
      <w:r>
        <w:rPr>
          <w:b/>
        </w:rPr>
        <w:t>kvinna¹</w:t>
      </w:r>
      <w:r>
        <w:rPr>
          <w:b w:val="0"/>
        </w:rPr>
        <w:t xml:space="preserve"> i</w:t>
        <w:br/>
        <w:br/>
        <w:t>lighet i skattelagstiftningen. (Forts.)</w:t>
        <w:br/>
        <w:br/>
        <w:t xml:space="preserve">Stockholm har en inkomst af 490 kronor, </w:t>
      </w:r>
      <w:r>
        <w:rPr>
          <w:b/>
        </w:rPr>
        <w:t>hon²</w:t>
      </w:r>
      <w:r>
        <w:rPr>
          <w:b w:val="0"/>
        </w:rPr>
        <w:t xml:space="preserve"> har en fästman, som</w:t>
        <w:br/>
        <w:br/>
        <w:t>röjande af har 710 kronors inkomst. Då utgör deras gemensamma skatt — då</w:t>
        <w:br/>
        <w:br/>
        <w:t>en till minskad äktenskapsfrekvens bidragande oegentlighet i skatte-</w:t>
        <w:br/>
        <w:br/>
      </w:r>
      <w:r>
        <w:rPr>
          <w:b/>
        </w:rPr>
        <w:t>kvinnan¹</w:t>
      </w:r>
      <w:r>
        <w:rPr>
          <w:b w:val="0"/>
        </w:rPr>
        <w:t xml:space="preserve"> är skattefri — 4 kronor. Gifta de sig, så få de en inkomst af 1,200 kronor, däraf 500 kronor äro skattefria, och för de återstående 700 kronorna få de erlägga en skatt af 56 kronor. I ena fallet 4 kronor, 1 det andra 56 kronor. Man förstår hvad det betyder för en håshållsbudget på 1,200 kronor.</w:t>
        <w:br/>
        <w:br/>
        <w:t xml:space="preserve">Denna fråga har icke förr uppmärksammats, på den grund att det är först på senare tider. som gift </w:t>
      </w:r>
      <w:r>
        <w:rPr>
          <w:b/>
        </w:rPr>
        <w:t>kvinna¹</w:t>
      </w:r>
      <w:r>
        <w:rPr>
          <w:b w:val="0"/>
        </w:rPr>
        <w:t xml:space="preserve"> enligt inkomstskatteförordningen har skyldighet att deklarera inkomst, som </w:t>
      </w:r>
      <w:r>
        <w:rPr>
          <w:b/>
        </w:rPr>
        <w:t>hon²</w:t>
      </w:r>
      <w:r>
        <w:rPr>
          <w:b w:val="0"/>
        </w:rPr>
        <w:t xml:space="preserve"> enligt lagen äger ensam råda öfver, och då blir </w:t>
      </w:r>
      <w:r>
        <w:rPr>
          <w:b/>
        </w:rPr>
        <w:t>hon²</w:t>
      </w:r>
      <w:r>
        <w:rPr>
          <w:b w:val="0"/>
        </w:rPr>
        <w:t xml:space="preserve"> beskattad för inkomsten och får egen debetsedel. Hvad jag anfört, måste ju synas alla innebära en stor obillighet, men ännu allvarligare blir saken, därför att enligt den erfarenhet man fått i Stockholm medför det de konsekvenser, som motionären påpekat. Huru denna sak skall lösas är icke lätt att säga för en enskild motionär, och herr Clason har ej heller vågat sig på; att göra något förslag i den vägen. I den promemoria, som jag fått af min åberopade kamrat, säges, att det rättvisaste vore om hvarje skattskyldig med beskattningsbar inkomst under 1,800 kronor beskattades för sig, men jag vet icke heller, om det är det riktiga. För min del har jag tänkt mig den möjligheten, att det skulle finnas ett existensminimum för familjer, som alltid skulle vara skattefritt. Bevillningsutskottet har icke vidare gifvit sig in på frågan, och det bör icke förvåna, om icke bevillningsutskottet, med alla de prestanda det haft att fullgöra, gifvit sig tid att tränga in i denna fråga, huru allvarlig den in är, men jag är öfvertygad att, om Kungl. Maj:t toge upp frågan, man skulle komma till ett tillfredsställande resultat. Det är också därför jag gärna skulle se, om Första kammaren ville göra något åt denna sak, och ber jag därför att få förena mig i den föregående talarens yrkanden.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140</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