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1165</w:t>
      </w:r>
    </w:p>
    <w:p>
      <w:r>
        <w:rPr>
          <w:b/>
        </w:rPr>
        <w:t xml:space="preserve">Datum: </w:t>
      </w:r>
      <w:r>
        <w:t>1911-01-22</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Knut Henning Gezelius von Scheele (–, man)</w:t>
      </w:r>
    </w:p>
    <w:p>
      <w:r>
        <w:rPr>
          <w:b w:val="0"/>
        </w:rPr>
        <w:t>Herr vice talman, mina herrar! Den fråga, som här föreligger, har mycket gamla anor, i synnerhet om man ställer den tillsammans med hvad som utgör dess nödvändiga förutsättning och de konsekvenser, som skulle komma att följa af en åtgärd i den föreslagna riktningen. Redan vid 1853—1854 års riksdag väckte August von Hartmansdorff förslag om inrättande af ett speciellt kyrkligt organ, som kunde blifva mera verksamt än hvad fallet var med prästeståndet genom den ställning, det intog bland rikets ständer. Och hvad sålunda blifvit förberedt utmynnade i lagutskottets vid 1862—1863 års riksdag tillstyrkan af den då föreliggande kungl. propositionen om kyrkomötets inrättande för att fylla behofvet af ett särskildt organ för kyrkan, tolkande dess önskningar och pröfvande dess behof. På senare tid har allt ifrån 1873 års kyrkomöte med växande styrka yrkats på åtgärder för lekmannaelementets ökade inflytande i kyrkliga ting. Äfven jag har vid kyrkomötena upprepade gånger motionerat i sådan riktning; och då frågan om kyrkolagens fullständiga revision var före i kammaren år 1905, anslöt jag mig till lagutskottets hemställan om bifall, ehuru under uttalande af mina betänkligheter på grund af bristande underlag, hvarvid jag tillät mig att instämma i ett här fälldt yttrande, det »hufvudsaken nog är, icke att man reviderar lagen, utan att man reviderar kyrkan».</w:t>
        <w:br/>
        <w:br/>
        <w:t>År 1908 framträdde i kyrkomötet den fråga, som nu föreligger, och en i försiktig form affattad skrifvelse till Kungl. Maj:t blef beslutad, hvari hemställes om utredning, huruvida genom fullständigare tillämpning af synodalförfattningens grundsatser ökadt inflytande på</w:t>
        <w:br/>
        <w:br/>
        <w:t xml:space="preserve">kyrkans angelägenheter skulle kunna beredas åt </w:t>
      </w:r>
      <w:r>
        <w:rPr>
          <w:b/>
        </w:rPr>
        <w:t>hennes²</w:t>
      </w:r>
      <w:r>
        <w:rPr>
          <w:b w:val="0"/>
        </w:rPr>
        <w:t xml:space="preserve"> lekmanna- Angående medlemmar. Själfva ordalydelsen var den af motionären brukade, rk ed kor hvilken han oförändrad upptagit. Då emellertid där någon debatt försa RN | härom icke förekom, ber jag få med några ord angifva min ställning (Forts.) till denna viktiga fråga, så mycket mera som mig icke kommer att</w:t>
        <w:br/>
        <w:br/>
        <w:t>beredas något tillfälle att i riksdagen vidare därom yttra mig.</w:t>
        <w:br/>
        <w:br/>
        <w:t xml:space="preserve">Frågan har jag i handling besvarat under en snart 40-årig verk' samhet i den svenska kyrkans tjänst, därvid hvar och en vet, att hvad som städse utgjort målet för mina sträfvanden och önskningar varit att demokratisera vår fosterländska kyrka, att föra </w:t>
      </w:r>
      <w:r>
        <w:rPr>
          <w:b/>
        </w:rPr>
        <w:t>henne²</w:t>
      </w:r>
      <w:r>
        <w:rPr>
          <w:b w:val="0"/>
        </w:rPr>
        <w:t xml:space="preserve"> så mycket som möjligt in i folket för att alltmer bli, det </w:t>
      </w:r>
      <w:r>
        <w:rPr>
          <w:b/>
        </w:rPr>
        <w:t>hon²</w:t>
      </w:r>
      <w:r>
        <w:rPr>
          <w:b w:val="0"/>
        </w:rPr>
        <w:t xml:space="preserve"> efter protestantisk uppfattning bör vara: icke en prästkyrka, utan en folkkyrka. Någon annan åskådning än denna kan helt säkert ej heller betrygga framtiden för något protestantiskt kyrkosamfund. Men ett är att sålunda principiellt godkänna hvad som har blifvit af motionären framställdt och ett annat att afgöra, huruvida det sätt, hvarpå han tänkt sig förverkligandet af detta syfte, kan jämväl vara lyckligt. För min del tror jag man bör vara betänksam, då det gäller att genom lagstiftning gå utvecklingen i förväg. Det får åtminstone vara mycket litet detta steg, som sålunda tages för att stödja den utveckling man önskar i en viss riktning. Ingen människa kan veta, hurudan framtiden blir. Det är lika möjligt, att ett omslag äger rum, som att den anvisade vägen fullföljes. Jag nödgas därför underkasta såväl de skäl, som af utskottet framställts, som de i reservationen anförda motskälen någon pröfning.</w:t>
        <w:br/>
        <w:br/>
        <w:t>Om jag då börjar med det skäl, som af utskottet omnämnes sist, så är det detta, att de betydelsefulla resultat, som under de senaste åren vunnits på de partiella reformernas väg, uppmuntra till fortgång på densamma. Låt vara; men å andra sidan är det svårt, för att icke säga omöjligt, att bedöma en enskildhet utan i sammanhang med det hela, att se hur en partiell förändring kommer att verka, med mindre den fattas i förhållande till organismen i dess helhet. Därför lär icke på denna grund allena kunna obetingadt bifallas hvad utskottet hemställer.</w:t>
        <w:br/>
        <w:br/>
        <w:t>Går jag åter att taga i öfvervägande det skäl, som utskottet i främsta rummet anfört, så är detta utan tvifvel långt mera bärande. Det är nämligen ett aktgifvande på, hurusom år 1909 Riksdagen begärt, att Kungl. Maj:t ville taga i öfvervägande, under hvilka villkor det må kunna tillåtas medlem af svenska statskyrkan att äfven utan uppgifven afsikt att öfvergå till annat trossamfund utträda ur kyrkan, äfvensom öfriga därmed sammanhängande bestämmelser. Vi kunna knappast föreställa oss, hvilken genomgripande förändring detta lär komma att medföra. Något däraf kan dock skymtas, om vi jämföra förhållandena i andra länder, där utvecklingen gått i sådan riktning. Härigenom kommer helt visst att läggas en ny grundval för förhållandet mellan stat och kyrka, ehuru ingalunda med ens så, att dymedelst det nuvarande sambandet emellan dem skulle upplösas, något som äfven jag hoppas ännu på länge icke skall komma i fråga, men visserligen så, att i stället för den nära sammanslutning, som nu dem emellan äger rum, en friare ställning mellan båda inträdde, och kyrkan</w:t>
        <w:br/>
        <w:br/>
        <w:t>visserligen i stort sedt förblefve svensk, en nationell institution, understödd af staten, men i hvilken inga andra befunne sig än de, som at själ och hjärta omfattade den lifeåskådning, som i kyrkans lära tagit sig uttryck. Det är detta förhållande, som från kyrklig synpunkt måste vara önskligt. Ty endast så kan man tänka sig ett sant och sundt kyrkolif. På det sättet lägges ock en säker grundval för hvad som af motionären blifvit påyrkadt, och jag kan för min del då icke tänka mig något annat, än att denna friare kyrka i förbindelse med staten skulle vara tacksam för att få statens stöd för en ombildning liknande den, hvilken motionen åsyftar.</w:t>
        <w:br/>
        <w:br/>
        <w:t>Reservanterna erinra tillika om Andra kammarens vid 1909 års riksdag begärda utredning, om och på hvad sätt det förefintliga sambandet mellan kyrkan och staten lämpligen kunde upplösas, men anse säkert, att hvad man kallat »en fri kyrka i en fri stat&gt; här knappast behöfde tagas med i beräkningen. Jo, den dag kan tyvärr nog tänkas komma äfven för Sverige, då man icke längre hade att räkna med en svensk nationalkyrka, utan blott och bart med åtskilliga samfundsbildningar inom landet, verkande för religiösa och etiska syften, hvilka för staten måste äga intresse och därför af staten understöddes i den mån, de visade sig tjäna dessa allmänt fosterländska ändamål.</w:t>
        <w:br/>
        <w:br/>
        <w:t>Skulle nu, har man sagt — och särskildt den mannen, som var motionär i denna fråga för två år sedan inom riksdagen, och hvilken äfven blifvit af den nuvarande motionären åberopad — vår kyrkliga utveckling gå i den riktningen, då vore den föreslagna organisationen desto nödvändigare, som »öfvergången från en evangelisk-luthersk statskyrka till en af staten doterad evangelisk-luthersk folkkyrka (eller flere smärre kyrkosamfund) säkerligen blefve mindre brydsam, mindre äfventyrlig, om den förra kunde åt den senare erbjuda en redan befintlig organisation, hvars lämpande för de nya förhållandena utan större svårigheter torde kunna verkställas». Jag tror icke, att vi böra på sådant sätt gå händelserna i förväg. En byggnad utan tillräcklig grund är alltid ett vanskligt företag. Ett dylikt tillvägagående nu blefve snarare till hinder än till gagn för en anordning, som måste lämpas efter de förhållanden, som då förefinnas. Det är icke förutvarande former, som gifva gestaltning åt lifvet, utan det är det inneboende lifvet, som åt sig skapar de lämpliga formerna.</w:t>
        <w:br/>
        <w:br/>
        <w:t>Ehuru jag sålunda, herr vice talman, gifver mitt fullständiga erkännande åt den tanke, som blifvit i motionen uttalad, och änskönt jag vill under mina återstående dagar fullfölja ett arbete i den riktningen, så, då jag anser, att detta bör ske på mer enskild väg än den af motionären anvisade lagstiftningsvägen, nödgas jag, om än icke utan smärta afstyrka motionen och instämma i hvad utskottet föreslagit.</w:t>
      </w:r>
    </w:p>
    <w:p>
      <w:pPr>
        <w:pStyle w:val="Heading2"/>
      </w:pPr>
      <w:r>
        <w:t>2. Charodotes Meurling (Lantmannapartiet, man)</w:t>
      </w:r>
    </w:p>
    <w:p>
      <w:r>
        <w:rPr>
          <w:b w:val="0"/>
        </w:rPr>
        <w:t>Herr talman, mina herrar! Då jag begärde ordet i denna fråga, önskade jag att få vara ett språkrör för de stora skaror af vårt folk, som förstå vikten af, att vårt folk får i vidsträcktaste mån tillgodogöra sig kristendomens inflytande. Folkkyrkan har ju också till ändamål att göra detta inflytande gällande, och i hvad</w:t>
        <w:br/>
        <w:br/>
        <w:t xml:space="preserve">mån </w:t>
      </w:r>
      <w:r>
        <w:rPr>
          <w:b/>
        </w:rPr>
        <w:t>hon²</w:t>
      </w:r>
      <w:r>
        <w:rPr>
          <w:b w:val="0"/>
        </w:rPr>
        <w:t xml:space="preserve"> skall kunna göra detta måste bli i hög grad beroende af, Angående under hvilka former man låter </w:t>
      </w:r>
      <w:r>
        <w:rPr>
          <w:b/>
        </w:rPr>
        <w:t>henne²</w:t>
      </w:r>
      <w:r>
        <w:rPr>
          <w:b w:val="0"/>
        </w:rPr>
        <w:t xml:space="preserve"> få utöfva sin verksamhet. Alla”. På göyrkar äro ense om, att vår kyrkolag är ytterst bristfällig. Nu har Riks- 7 Forts) | dagen makt öfver kyrkolagen. Kan det då vara rätt att utöfva denna 7 makt i hufvudsakligen negativ riktning och plocka undan förefintliga bestämmelser den ena efter den andra utan att sätta något annat i</w:t>
        <w:br/>
        <w:br/>
        <w:t>stället, som kan sätta kyrkan i stånd att bättre tjäna det ändamål,</w:t>
        <w:br/>
        <w:br/>
        <w:t xml:space="preserve">som </w:t>
      </w:r>
      <w:r>
        <w:rPr>
          <w:b/>
        </w:rPr>
        <w:t>hon²</w:t>
      </w:r>
      <w:r>
        <w:rPr>
          <w:b w:val="0"/>
        </w:rPr>
        <w:t xml:space="preserve"> har? Det synes mig åtminstone, att de, för hvilka kristen-</w:t>
        <w:br/>
        <w:br/>
        <w:t>domen har något värde, icke borde kunna vara med om en sådan</w:t>
        <w:br/>
        <w:br/>
        <w:t>taktik. En föregående riksdag har begärt, att utträde ur kyrkan skulle</w:t>
        <w:br/>
        <w:br/>
        <w:t>få ske, utan att man skulle behöfva uppgifva något annat samfund,</w:t>
        <w:br/>
        <w:br/>
        <w:t>i hvilket man ämnade ingå. BSåvidt jag kan förstå, är det väl då all-</w:t>
        <w:br/>
        <w:br/>
        <w:t>deles nödvändigt att bestämma gränserna för deras rättigheter, som</w:t>
        <w:br/>
        <w:br/>
        <w:t>utträda, och för deras rättigheter, som stanna kvar, så att de på hvar-</w:t>
        <w:br/>
        <w:br/>
        <w:t>dera hållet icke få tillfälle att på ett otillbörligt sätt förtrycka hvar-</w:t>
        <w:br/>
        <w:br/>
        <w:t>andra. Långt ifrån att detta Riksdagens beslut skulle behöfva vara</w:t>
        <w:br/>
        <w:br/>
        <w:t>ett hinder för en utredning rörande en ny författning, såsom utskottet</w:t>
        <w:br/>
        <w:br/>
        <w:t>här antydt, synes det mig tvärtom vara lämpligt, ja nästan nödvändigt,</w:t>
        <w:br/>
        <w:br/>
        <w:t>att dessa frågor få följas åt och utredas i ett sammanhang. MHuru-</w:t>
        <w:br/>
        <w:br/>
        <w:t>vida nu motionen funnit den rätta riktningen för en sådan ny författning,</w:t>
        <w:br/>
        <w:br/>
        <w:t>därom kunna ju meningarna vara delade. Vi se också, att hvarken utskottet eller reservanterna ha velat förorda motionen i dess helhet.</w:t>
        <w:br/>
        <w:br/>
        <w:t>Blott en sak ha reservahterna upptagit ur motionen, nämligen att ett</w:t>
        <w:br/>
        <w:br/>
        <w:t>ökadt inflytande på det kyrkliga området skulle beredas åt kyrkans lekmannamedlemmar. Man har så länge klagat öfver den hittillsvarande maktfördelningen inom kyrkan. Om då här föreslås en än-</w:t>
        <w:br/>
        <w:br/>
        <w:t>dring härutinnan i mera demokratisk riktning, en förskjutning af</w:t>
        <w:br/>
        <w:br/>
        <w:t>makten åt det håll, som reservationen angifver, åt lekmannahållet,</w:t>
        <w:br/>
        <w:br/>
        <w:t>skall då denna kammare motsätta sig ett sådant förslag? Jag för min</w:t>
        <w:br/>
        <w:br/>
        <w:t>del är öfvertygad, att ett sådant förslag skulle blifva till gagn för</w:t>
        <w:br/>
        <w:br/>
        <w:t>kyrkan, och ber därför, herr talman, att få yrka bifall till reservanter-</w:t>
      </w:r>
    </w:p>
    <w:p>
      <w:pPr>
        <w:pStyle w:val="Heading2"/>
      </w:pPr>
      <w:r>
        <w:t>3. Johan Widen (Utan partibeteckning, man)</w:t>
      </w:r>
    </w:p>
    <w:p>
      <w:r>
        <w:rPr>
          <w:b w:val="0"/>
        </w:rPr>
        <w:t>Herr talman. Då jag går att föra utskottets talan, så skall jag först be att få förutskicka två anmärkningar. Den ena är den, att jag icke tror, att den ståndpunkt, som Riksdagen kan komma att intaga till denna fråga, vare sig den ansluter sig till reservanternas eller utskottets mening, har det ringaste att göra med dess ståndpunkt till utvecklingen af det kyrkliga lifvet; och ett bevis härpå ser jag t. ex. i det förhållandet att herr biskop von Schéele yrkat bifall till utskottets förslag. Den andra anmärkningen är den, att beträffande den fråga, som den siste ärade talaren berörde, nämligen om lekmannaelementets större inflytande inom församlingarna, utskottet och reservanterna äro fullkomligt ense. Utskottet säger, att det fullt erkänner »vikten och betydelsen däraf, att lekmannaelementets inflytande på det kyrkliga området ökas». Sålunda har utskottet äfven gifvit sitt erkännande åt den saken.</w:t>
        <w:br/>
        <w:br/>
        <w:t>Då man går att fatta position i denna fråga, så är det enligt min uppfattning helt andra synpunkter, som böra komma i betraktande. Motionären synes mig ha framhållit två hufvudsakliga moment i sin långa motion. Det första går ut på en omarbetning at gällande kyrkoförfattning i den riktningen, att vi skulle införa en synodalförfattning. Det andra momentet är, att man skulle verkställa en omarbetning af 1686 års kyrkolag. Hvad nu den första frågan beträffar, så är det en fråga, som varit före förut i riksdagen. Utskottet erinrar om, att frågan i nästan alldeles samma form förelåg vid 1885 års riksdag, och att Riksdagen då icke ville vara med om någon skrifvelse utan afslog det föreliggande yrkandet. 1885 års utskott yttrade, som synes på sid. 2 i föreliggande utskottsbetänkande, bland annat, att en skrifvelse borde, »därest densamma skulle för frågans lösning äga någon verklig betydelse, innefatta en framställning af bestämda, ej för allmänt angifna hufvudgrunder, på hvilka omorganisationen borde enligt Riksdagens mening byggas»; och vidare: »Motionären har visserligen uti motiveringen för sin del något närmare utfört, huru han tänkt sig den nya organisationens hufvuddrag, men planen torde vara alltför stor och omfattande för att Riksdagen — — — lämpligen skulle kunna inlåta sig i pröfning af samma plan.&gt; Mig synes, att detta uttalande äger sin fulla giltighet än i dag, och detta så mycket mera som sedan dess 1909 års riksdagsskrifvelse tillkommit. Mig synes, hvad angår betydelsen af sistnämnda skrifvelse för föreliggande fråga, som om den förste ärade talaren skulle ha rätt däri, att det skulle vara olämpligt, om man sökte att på detta område upplinjera en form, som lifvet — man vet ju ännu icke hur det kan komma att gestalta sig efter det den ifrågasatta rätten att utträda ur statskyrkan införts — skulle intvingas i; äfven jag tror, att detta skulle vara synnerligen obetänksamt. Jag anser för öfrigt, att denna fråga om införande af en synodalförfattning, äfven efter den upplinjering af dess innebörd, som motionären här efter utländska förebilder verkställt, är så föga utredd, att det icke under. några omständigheter kan vara lämpligt, att Riksdagen genom en skrifvelse till Kungl. Maj:t tar position till densamma. |</w:t>
        <w:br/>
        <w:br/>
        <w:t>Det förhåller sig ju dessutom så, att kyrkomötet redan skrifvit och begärt något dylikt: motionärens yrkande och kyrkomötets skritvelse äro i hufvudsak öfverensstämmande. Kungl. Maj:t är icke endast berättigad utan, synes det mig, äfven skyldig att på grund af denna skrifvelse taga saken i öfvervägande. Men Kungl. Maj:t har, såvidt jag har mig bekant, ännu icke gjort något vidare i anledning af denna skrifvelse, utan tagit sig en funderare på densamma, och det synes mig, att, då Kungl. Maj:t med sina stora utredningsmöjligheter finner sig böra fundera på saken, det nog är lämpligt, att Riksdagen gör på samma sätt.</w:t>
        <w:br/>
        <w:br/>
        <w:t>Den andra frågan, som motionären upptagit, rör en omarbetning af 1686 års kyrkolag. Den frågan har varit före här i riksdagen Åera gånger och icke mindre än två gånger, sedan jag kom in i riksdagen. År 1905 afslog Andra kammaren mot ett enhälligt lagutskott ett förslag härom, och år 1908 föll förslaget om revision af kyrkolagen utan ett enda ord till försvar därför i kammaren. Jag vill</w:t>
        <w:br/>
        <w:br/>
        <w:t>visserligen icke som en allmän grundsats uttala, att det är lättare att Angående genomföra partiella reformer än att genomföra en hel lagstiftnings- "7 "y yr kor reform på en gång; det senare kan ibland vara lättare. Men med f velsj 7 stöd af erfarenheten skulle jag vilja bestämdt påstå, att på här ifråga- | varande område är det lättare att gå de partiella reformernas väg.</w:t>
        <w:br/>
        <w:br/>
        <w:t>Vi ha sedan 1725 haft fyra stora kommittéer, af hvilka tre på 1800-</w:t>
        <w:br/>
        <w:br/>
        <w:t>talet, som kommit fram med förslag på detta område; en af dessa kommittéer arbetadei ej mindre än 13 år. Dessa förslag ha emellertid</w:t>
        <w:br/>
        <w:br/>
        <w:t>dels icke framlagts för Riksdagen, dels ha de, när de framlagts, icke</w:t>
        <w:br/>
        <w:br/>
        <w:t>ledt till något resultat. Jag tror icke, att det skulle vara lämpligt</w:t>
        <w:br/>
        <w:br/>
        <w:t>att nu återigen sätta i gång en sådan apparat. I likhet med hvad</w:t>
        <w:br/>
        <w:br/>
        <w:t>en talare, herr Carl Persson i Stallerhult, framhöll vid 1905 års riks-</w:t>
        <w:br/>
        <w:br/>
        <w:t>dag, tror jag, att en sådan åtgärd som här föreslås kanske till och</w:t>
        <w:br/>
        <w:br/>
        <w:t>med skulle kunna tagas till intäkt af dem, som icke vilja ha några</w:t>
        <w:br/>
        <w:br/>
        <w:t>reformer på detta område.</w:t>
        <w:br/>
        <w:br/>
        <w:t>Den siste talaren sade, att man tager bort och tager bort ur kyrkolagen och icke sätter något annat i stället. Men så är det nog icke, utan man har verkligen satt annat i stället för det man borttagit. Jag vill påpeka det stora och för kyrkan genomgripande beslut, som fattades i fjol angående prästernas aflöning, andra ämnen att förtiga, där man infört betydande lagstiftningsarbeten på kyrkolagens fält. Man har sålunda icke blott öppnat luckor i kyrkolagen, utan att sätta något annat i stället, äfven om det, som gjorts, icke satts in i själfva kyrkolagen. Det skulle alltså enligt min uppfattning vara ett fruktlöst arbete att söka åstadkomma en revision af 1686 års kyrkolag, och jag förmodar, att kammaren fortfarande hyser samma mening, som kammaren med sådan enighet omfattade vid 1905 och 1908 årens riksdagar.</w:t>
        <w:br/>
        <w:br/>
        <w:t>Nu är det ju så, att här icke yrkats bifall till motionen, utan den siste talaren yrkade bifall till reservanternas förslag; och reservanterna ha i sin motivering och kläm uteslutit allt tal om synodalförfattningen. De erkänna alltså äfven de, att denna fråga icke är så mogen, att den kan göras till föremål för en Riksdagens skrifvelse. Men jag frågar: då reservanterna icke närmare ha angifvit, huru de tänkt sig, att den af dem påyrkade reformen skulle utföras, innebär då icke en anslutning till reservationen i denna fråga nödvändigtvis en hänvisning på motionen såsom den grund, hvarpå reservationen hvilar? Jo, i själfva verket måste det blifva så, att det blir motionen man tar på samma gång som reservationen, för så vidt denna icke skall sväfva i luften, utan, om jag så får säga, ha något kött på sig. Jag anser därför, att Riksdagen otvifvelaktigt gör bäst i att bifalla utskottets hemställan, till hvilken jag för min del ber att få yrka bifall.</w:t>
        <w:br/>
        <w:br/>
        <w:t>I detta anförande instämde herrar Nilsson i Skärhus, Olsson i Broberg och Ersson.</w:t>
        <w:br/>
        <w:br/>
        <w:t>och svårlöst, får man väl icke skjuta den ifrån sig, utan om det är en fråga, som är af ingripande art och beskaffenhet med hänsyn till vårt sambhällslif, så bör man väl tränga den inpå lifvet och se till hvad man kan göra för att afhjälpa förefintliga brister och missförhållanden.</w:t>
        <w:br/>
        <w:br/>
        <w:t>Frågan om en revision af vår kyrkolag har ju, såsom här upprepade gånger blifvit sagdt, både af Riksdagen och kyrkomötet vid flera tillfällen behandlats och man har äfven fattat beslut, gående i den riktning, som motionären har afsett. I denna fråga ha kommittéer arbetat, och den har, som sagdt, varit föremål för mycken uppmärksamhet utan att egentligen kunnat leda till något resultat. När Riksdagen behandlade denna fråga sist, år 1908, så var ju de flestas mening här i kammaren, att man ville ställa sig på den bogen att fortsätta med att arbeta på de partiella reformernas väg, därför att det visade sig vara rent af omöjligt att få fram ett helt nytt kyrkolagsförslag, som kunde antagas af Riksdag och kyrkomöte. Hvad nu motionären här föreslagit anser jag icke vara något annat än en fortsättning på de partiella reformernas väg. Under fjolårets riksdag och sedermera under kyrkomötet antogos förslag och reglerades förhållanden, som rörde den ekonomiska kyrkliga lagstiftningen. Hvad motionären här har framhållit och sökt att drifva fram genom sin motion, det är, tycker jag mig finna, den andra sidan af denna stora kyrkolagstiftning, nämligen de rent kulturella och de inre kyrkliga angelägenheterna. Om vikten af en ändring härutinnan råder ju ingen meningsskiljaktighet, och t. o. m. utskottet, som hemställer om afslag å förevarande motion, säger i sitt betänkande på sidan 3: »Med fullt erkännande af vikten och betydelsen däraf, att lekmannaelementets inflytande på det kyrkliga området ökas, finner dock utskottet det af motionären för realiserandet af detta önskningsmål framställda förslag lida af väsentligen samma brister som lagutskottet vid 1885 års riksdag fann vidlåda berörda då af herr Wieselgren framställda förslag.» Utskottet finner således, att motionären haft goda skäl för sitt förslag, att lekmännen måtte komma till större rätt och heder och få vara med om besluten i kyrkliga angelägenheter — att denna fråga måste anses vara en mycket viktig fråga, men på samma gång säger utskottet, att detta förslag lider af sådana väsentliga brister, att utskottet icke kan gå in på frågans bedömande. Det fortsätter därför i sin motivering och säger: »En ytterligare anledning att nu icke biträda motionärens förslag, hvars närmare innebörd och verkningar icke heller utskottet kunnat öfverblicka&gt; etc. Detta är väl ändock ett moment, som icke riktar sig så mycket mot motionären som fast mera mot utskottet, hvilket icke har förmått att blicka in i denna stora och vidlyftiga fråga. Man kan väl icke begära af en enskild mötionär, att han skall kunna utarbeta ett detaljeradt lagförslag och lägga fram det i riksdagen, utan han har att i stora drag, såsom också utskottet erkänner, peka på vissa riktningar och synpunkter, som man vid en blifvande utredning borde taga i sikte. Detta har motionären gjort, och att han icke har ingått i detaljer i detta afseende, det böra vi hålla honom räkning för.</w:t>
        <w:br/>
        <w:br/>
        <w:t>När nu emellertid lagutskottet funnit, att en lag är af sådan be-</w:t>
        <w:br/>
        <w:br/>
        <w:t>skaffenhet, att den i allmänhet icke kan tillämpas, att den är föråldrad och att den i många afseenden strider emot vår lagstiftning på kyrkans och skolans område, hade lagutskottet enligt min mening verkligen bort tränga något djupare in i denna fråga och gå den något mer in på lifvet, än hvad det gjort, samt icke bara säga, att man icke kunnat närmare tränga sig in i innebörd och verkan af densamma.</w:t>
        <w:br/>
        <w:br/>
        <w:t>Sedan framhåller utskottet äfven en annan sak och säger: »Enligt utskottets uppfattning lär det nämligen icke utan synnerlig svårighet låta sig göra att, innan klarhet vunnits såväl i detta afseende som beträffande kyrkans därmed nära sammanhängande ställning för öfrigt till staten och kommunen samt dess organ, upptaga den af motionären väckta frågan till ett så ingående bedömande, som nu af honom ifrågasättes.&gt; Jag vet icke, hvad utskottet egentligen menar med detta. Jag har tänkt mig, att det skulle vara en fördel, om man toge denna sak i hela dess vidd. Nu synes det mig vara utskottets mening, att man borde först och främst afvakta tiden och se till hvad man kan göra med afseende å det spörsmål, som Andra kammaren här behandlade för några år sedan, nämligen om statens förhållande till kyrkan och kyrkans förhållande till staten och så vidare, innan man ger sig in på detta lagstiftningsarbete. Men, mina herrar, så länge vi hafva en statskyrka, bör det väl vara af vikt, att denna kyrka och dess lagstiftning reformeras och hålles vid lif på sådant sätt, att den vinner statens, det allmännas förtroende, ty här om någonsin gäller det väl att arbeta i ömsesidigt förtroende, och därför tror jag, att, när motionären har framfört denna fråga, huruvida icke man borde bereda lekmannaelementet större inflytande i kyrkliga frågor, densamma står i mycket nära sammanhang med frågan om gemensamt arbete på förtroendets grund.</w:t>
        <w:br/>
        <w:br/>
        <w:t>Nu har det emellertid utvecklat sig så på grund af 1686 års föråldrade lagstiftning, att det har blifvit en prästkyrka, som regeras nästan uteslutande af präster, och det, mina herrar, har icke varit lyckligt för kyrkan. Jag vågar påstå detta, ty om en motion, liknande denna, hade beaktats för omkring 50 år sedan, och om man verkligen hade sökt att råda bot i tid på de rådande missförhållandena inom kyrkan, så är jag öfvertygad om att icke sådana förhållanden, som nu äro rådande på det kyrkliga området, skulle hafva utvecklats, utan att ett större samförstånd och ett bättre samarbete skulle hafva ägt rum mellan dem, som hafva religiösa intressen och som vilja bygga upp samhället på vår gamla kristna tro och lifsåskådning.</w:t>
        <w:br/>
        <w:br/>
        <w:t>Det sista skälet, som utskottet har anfört, är det, att man vid 1908 års riksdag förordade de partiella reformernas väg. Den frågan har af fiera föregående talare blifvit berörd, och jag vill blott erinra om hvad en mycket frisinnad man, en förutvarande expeditionschef i ecklesiastikdepartementet, uttalade angående denna fråga vid ett kyrkomöte. Jag skall förbigå hans inledning och blott upptaga, hvad han säger i själfva saken. Han yttrar bland annat: »För öfrigt vågar jag påstå, att ett fullödigt, genomarbetadt lagförslag är just till betydlig förmån för de partiella reformerna. Ingen kan väl neka till att ett lagverk, i hvars olika delar finnes den fullaste homogenitet, som genomströmmas och genomandas af en stor grundtanke, kan i de skilda</w:t>
        <w:br/>
        <w:br/>
        <w:t>delarna vara af beskaffenhet att kunna läggas till grund äfven för en speciallagstiftning. Jag håller ingalunda på att vid den revision, som ligger mig om hjärtat, man skall sammanfatta allt i en enda lag med fortgående kapitelföljd och paragrafnummer. Jag har ingenting emot, att åt detta lagverk gifves formen af flera särskilda lagar, och jag kan icke tänka mig annat, än att ett sådant utarbetadt lagverk skall vara en verklig källa att ösa ur för dem, som vilja de partiella reformernas framgång.»</w:t>
        <w:br/>
        <w:br/>
        <w:t>Här har denne ärade talare med dessa ord påpekat vikten och betydelsen af att hafva ett lagverk i en sammanhängande följd, äfven om man vill gå de partiella reformernas väg.</w:t>
        <w:br/>
        <w:br/>
        <w:t>Mina herrar, med anledning af hvad jag yttrat skulle jag helst hafva önskat att yrka bifall till motionen i båda dess delar. Men då frågan nu ligger så till som den gör med hänsyn till utskottets behandling och den vid betänkandet fogade reservationen, får jag yrka bifall till reservationen, ehuru jag för min del anser, att frågan hbehandlats på ett alltför snäft sätt.</w:t>
        <w:br/>
        <w:br/>
        <w:t>I detta sammanhang skulle jag ifrån denna plats vilja säga några ord. Det är ett intryck, som jag fått af en lång erfarenhet på detta område, nämligen att man verkligen skulle kunna åstadkomma mycket under nuvarande förhållanden just i den riktning, som reservanterna här förorda, nämligen samarbete mellan präster och lekmän i större omfattning utan någon lagändring. Jag har förut anfört, att ett arbete i förtroende är det viktigaste på detta område. Men det är säkert, mina herrar, att det finnes lekmän, kyrkligt intresserade, religiöst intresserade, gudfruktiga lekmän, som på sina hemorter äga större förtroende än prästen i församlingen. Det har då varit smärtsamt att se mer än en gång, hurusom många präster i vår kyrka ställt sig afvisande, när det gällt att samarbeta med dessa lekmän. Det är så, som någon nyss anförde med afseende på dessa saker. Den reform, som jag nu här åsyftar, skulle enligt hans uttalande kunna genomföras utan några lagändringar, om man blott vaknade upp för att söka ena alla goda krafter till att arbeta för sedlighet och gudsfruktan och härpå grunda en god folkuppfostran. Man bör försöka att ena sig; och särskildt i vår tid tror jag, att ett sådant arbete skulle vara af en mycket stor betydelse.</w:t>
        <w:br/>
        <w:br/>
        <w:t>Emellertid skall jag, herr vice talman, då frågan föreligger så som den här gör, be att få yrka bifall till reservanternas förslag under förhoppning, att, ifall Riksdagen skulle besluta en skrifvelse, frågan måtte få den allsidiga utredning och resultera i det lyckliga förslag, som dess stora betydenhet verkligen kräfver. Herr vice talman! Jag yrkar bifall till reservanternas förslag.</w:t>
      </w:r>
    </w:p>
    <w:p>
      <w:pPr>
        <w:pStyle w:val="Heading2"/>
      </w:pPr>
      <w:r>
        <w:t>4. Jakob Byström (Liberala samlingspartiet, man)</w:t>
      </w:r>
    </w:p>
    <w:p>
      <w:r>
        <w:rPr>
          <w:b w:val="0"/>
        </w:rPr>
        <w:t>Herr talman, mina herrar! Blott några ord ber jag att nu få yttra. Först och främst vill jag säga, att äfven jag anser, att den nuvarande svenska kyrkolagstiftningen icke är sådan den bör vara och att den i mångt och mycket är föråldrad, hvarför man kan förstå dem, som yrka på att en ny lag på detta område må utarbetas. Då frågan sist var före i Riksdagen, yttrade jag, att, om en sådan åtgärd skulle vidtagas, d. v. s. att man anhölle hos Kungl. Maj:t, att</w:t>
        <w:br/>
        <w:br/>
        <w:t>han måtte gå i författning om utarbetandet af en ny kyrkolag, man därvid måtte göra sammansättningen så allsidig som möjligt hos den kommitté, som möjligen skulle komma att utarbeta detta nya lagförslag. Den bör icke komma att blott ensidigt tillgodose en viss kyrklig riktning. Alla kyrkliga riktningar af någon betydenhet böra företrädas. Frågan bör ses i så vida och breda drag som möjligt. Hvarför somliga icke vilja gå med på att åstadkomma en ny kyrkolag beror nog, såvidt jag kan förstå, delvis på det, som biskop Billing framhöll i Första kammaren. Han gjorde gällande, att man fruktar, att man svårligen kan åstadkomma något så bra som man från kyrkligt håll önskar. Såsom vi hafva hört, har ej heller biskop von Schéele yrkat bifall till frågan, ehuru naturligen på delvis andra grunder än biskop Billing.</w:t>
        <w:br/>
        <w:br/>
        <w:t xml:space="preserve">En talare har klagat öfver att statskyrkan är så tryckt, och att Riksdagen i någon mån bidrar till att förtrycka </w:t>
      </w:r>
      <w:r>
        <w:rPr>
          <w:b/>
        </w:rPr>
        <w:t>henne²</w:t>
      </w:r>
      <w:r>
        <w:rPr>
          <w:b w:val="0"/>
        </w:rPr>
        <w:t>. Jag vill icke sätta mig emot detta yttrande, då jag tror mig ha förmärkt, att många af dem, som här i riksdagen syssla med en del kyrkliga ting, icke egentligen tyckas ha fattat hvad som verkligen kan menas med det kyrkliga. Kyrkan har ju också att vara beredd på att möta sådant. Så har nog också inträffat förr. Själfva statskyrkoidén ställer kyrkans frågor på en konstig basis.</w:t>
        <w:br/>
        <w:br/>
        <w:t>Men midt under att vi måste höra uttalanden från präster om att statskyrkan lider, och om att somliga vilja tumma på den lära, som vi anse vara kristlig, och som vi såsom troende måste slå vakt om, vill jag å andra sidan säga, att statskyrkan icke må alltför mycket klaga öfver Riksdagens hållning, då Riksdagen t. ex. helt nyligen behagat höja prästerskapets löner, så att dessa i en framtid komma att utgå med sammanlagdt omkring 4 miljoner kronor mer än hvad de nu göra. Under det att för närvarande prästerskapets aflöning uppgår till ett belopp af sammanlagdt omkring 8 miljoner kronor, kommer den snart nog att belöpa sig till omkring 12 miljoner kronor årligen. Detta är väl ändock en omständighet, som visar, att kyrkan icke i alla afseenden blifvit så väldeligen förtryckt.</w:t>
        <w:br/>
        <w:br/>
        <w:t>En sak vill jag särskildt framhålla, och det är, att om man vill få till stånd den rätta lösningen på åtskilliga af dessa frågor, synes mig den väg, man då bör gå, vara att söka upphäfva sambandet mellan kyrkan och staten. Då slipper man äfven en del obehagliga diskussioner rörande kyrkliga frågor, som ibland förekomma i riksdagen. »En fri kyrka i en fri stat» är alltfort en grundsats, som tilltalar många äfven hos vårt folk.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1165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