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w:t>
      </w:r>
    </w:p>
    <w:p>
      <w:r>
        <w:rPr>
          <w:b/>
        </w:rPr>
        <w:t xml:space="preserve">Datum: </w:t>
      </w:r>
      <w:r>
        <w:t>1911-02-21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Frithiof Söderbergh (Liberala samlingspartiet, man)</w:t>
      </w:r>
    </w:p>
    <w:p>
      <w:r>
        <w:rPr>
          <w:b w:val="0"/>
        </w:rPr>
        <w:t>Då jag med min röst bidragit till den utgång, den föreliggande frågan erhållit i lagutskottet, anhåller jag att få säga några ord till försvar för lagutskottets afstyrkande af herr Ekmans motion och till bemötande af den föregående ärade talaren.</w:t>
        <w:br/>
        <w:br/>
        <w:t>Motionären har i första punkten af motionens kläm hemställt, »att Riksdagen måtte i skrifvelse till Kungl. Maj:t anhålla, att Kungl. Maj:t täcktes låta verkställa utredning, om och i hvilken form ett mera aktivt deltagande och ett förökadt inflytande på det kyrkliga området skulle kunna beredas åt kyrkans lekmannamedlemmar, och att vid sådan utredning särskildt måtte tagas i öfvervägande, huruvida icke nämnda syfte säkrast kan vinnas genom en fullständigare tillämpning af synodalförfattningens grundsatser.»</w:t>
        <w:br/>
        <w:br/>
        <w:t>Nu är ju förhållandet, att en ord för ord liknande framställning redan aflåtits till Kungl. Maj:t af 1908 års kyrkomöte. Frågan om åstadkommande af en sådan utredning, som motionären här begärt, och just i det af honom angifna hänseendet, har alltså bragts under Kungl. Maj:ts ompröfning, och motionären hade skäligen kunnat åtnöjas därmed ännu så länge. Ty det finnes väl ingen rimlig anledning att betvifla, att icke Kungl. Maj:t skulle lika villigt efterkomma en framställning från kyrkomötet, den mest kompetenta och i denna fråga sakkunniga parten, om dess framställning verkligen befinnes förtjäna afseende, som en alldeles enahanda hemställan från Riksdagens sida. En påstötning redan nu från Riksdagen i samma ämne må därför synas tämligen onödig.</w:t>
        <w:br/>
        <w:br/>
        <w:t>Detta har emellertid inte varit det hufvudsakliga skälet för lagutskottets afstyrkande. Efter den af 1908 års kyrkomöte aflåtna skrifvelsen i denna fråga har tillkommit en skrifvelse från</w:t>
        <w:br/>
        <w:br/>
        <w:t xml:space="preserve">Riksdagen år 1909 i anledning af motioner af bland andra hofrättsrådet Ekman. I denna skrifvelse har Riksdagen anhållit bland annat, att Kungl. Maj:t »ville taga i öfvervägande, under hvilka villkor det må kunna tillåtas medlem af svenska kyrkan att, äfven utan uppgifven afsikt att öfvergå till annat trossamfund, utträda ur kyrkan» och låta utarbeta och för Riksdagen framlägga de förslag, som af denna utredning kunna föranledas. I sin motion år 1909 framhöll herr Ekman, att medgifvandet af utträde ur kyrkan icke kunde genomföras utan en grundlig undersökning af alla de konsekvenser, som däraf följa, och ett ordnande af de många ömtåliga frågor på skilda områden, som i samband därmed uppkomma. Ett sådant medgifvande medför säger han, för det första en principiell omgestaltning af förhållandet mellan kyrkan och stat, för det andra nödvändigheten att närmare reglera förhållandet mellan kyrkan och de utom </w:t>
      </w:r>
      <w:r>
        <w:rPr>
          <w:b/>
        </w:rPr>
        <w:t>henne²</w:t>
      </w:r>
      <w:r>
        <w:rPr>
          <w:b w:val="0"/>
        </w:rPr>
        <w:t xml:space="preserve"> stående statsmedlemmarne samt slutligen en behöflig omgestaltning af förhållandet mellan kyrkan och de </w:t>
      </w:r>
      <w:r>
        <w:rPr>
          <w:b/>
        </w:rPr>
        <w:t>henne²</w:t>
      </w:r>
      <w:r>
        <w:rPr>
          <w:b w:val="0"/>
        </w:rPr>
        <w:t xml:space="preserve"> fortfarande tillhöriga statsmedlemmarne.</w:t>
        <w:br/>
        <w:br/>
        <w:t>Det torde väl få anses alldeles uppenbart att, innan dessa viktiga och djupt ingripande spörsmål blifvit klargjorda och särskildt förhållandet mellan staten och kyrkan inbördes blifvit fullt uppredt, man icke kan närmare gifva sig in på motionärens ifrågavarande förslag. Den af 1909 års riksdag begärda utredningen måste härvidlag blifva det primära, och denna utredning och det förslag, som af densamma föranledes, måste först på bordet, innan man lämpligen kan gå vidare med sådana reformer, som här ligga motionären närmast om hjärtat.</w:t>
        <w:br/>
        <w:br/>
        <w:t>Hvad dessutom beträffar själfva motionärens framställning i det stora hela, torde denna lida af ganska mycken oklarhet. Hvad vill motionären egentligen? Jo, säger han, kyrkans demokratisering, och en sådan skulle åstadkommas genom ett mera aktivt deltagande samt ett förökadt inflytande på det kyrkliga området af kyrkans lekmannamedlemmar, och skulle detta, enligt motionärens förmenande, säkrast vinnas genom en fullständigare tillämpning af synodalförfattningens grundsatser. Ja, det kan hända, att den af motionären såsom önskvärd ansedda demokratiseringen skulle kunna vinnas på den anvisade vägen, men det är långt ifrån säkert, och det torde i främsta rummet bero på hvilka lekmannaelement, som kunde förvärfvas till medarbetare på det kyrkliga området. Den faran ligger alltid nära, att i första hand sådana element skulle tränga sig fram och erbjuda sitt biträde, om hvilka man brukar säga, att de äro mera konungska än konungen själf, och sådana, hvilka i sitt visserligen brinnande, men ovisa nit städse blifva till mera skada än gagn.</w:t>
        <w:br/>
        <w:br/>
        <w:t>Den ärade motionären har sammanfört sitt program på sid. 20. »I enlighet härmed» säger han, »synes mig den kyrkliga själfstyrelsen i vårt land böra ordnas i ungefärlig öfverensstäm-</w:t>
        <w:br/>
        <w:br/>
        <w:t>redan bestående kyrkliga organisationen:</w:t>
        <w:br/>
        <w:br/>
        <w:t>b) i stiften: stiftsmöten (stiftssynoder); domkapitel (väsentligen ombildade);» hvari den väsentliga ombildningen skulle bestå, få vi inte veta, motionären har icke sagt ett ord härom —</w:t>
        <w:br/>
        <w:br/>
        <w:t>»e) för kyrkan i dess helhet: kyrkomötet (väsentligen ombildadt);» — inte heller om denna ombildning har motionären haft något att förmäla — »Kungl. Maj:t; eller i vissa fall Kungl. Maj:t och Riksdagen.» Och så heter det vidare: »Ej blott kyrkostämmorna (kyrkofullmäktige) utan äfven de högre kyrkliga korporationerna böra beredas en viss begränsad beskattningsrätt för kyrkliga ändamål».</w:t>
        <w:br/>
        <w:br/>
        <w:t>Ja, mina herrar, det programmet är väl ändå bra sväfvande och torde icke kunna utgöra en tillfredsställande vägledning vid utarbetande af en ny kyrkoförfattning. Motionärens hänvisning till synodalsystemet såsom framför allt lämpligt att läggas till grund för en ny organisation af kyrkan har ingen af lagutskottets ledamöter och alltså icke ens den föregående ärade talaren i frågan kunnat omfatta. Motionären har icke heller närmare utvecklat, huru han tänkt sig tillämpningen hos oss af detta system, utan endast hållit sig till tämligen allmänna ordalag.</w:t>
        <w:br/>
        <w:br/>
        <w:t>Slutligen kommer jag till motionärens hemställan i andra punkten, att »åtgärder måtte vidtagas för utarbetande af en ny fullständig kyrkoförfattning att träda i stället för 1686 års kyrkolag.» Härvidlag kan jag med hänvisning till den utförliga redogörelse, som förekommer i motionen, fatta mig tämligen kort. Senast denna fråga var före i riksdagen, var 1908 i anledning af en utaf herr Ekman då väckt motion om revision af gällande kyrkolag med därtill hörande författningar. Lagutskottet afstyrkte helt kärft rotionen, erinrande om den ringa framgång föregående försök att åstadkomma en genomgripande revision af kyrkolagen rönt och att någon utsikt till åstadkommande af en fullständigt omarbetad kyrkolag för det dåvarande ej förefunnes. Om man verkligen önskade en förbättrad kyrkolagstiftning, syntes det mera ändamålsenligt att fortgå på de partiella reformernas väg. Skulle en utredning i ärendet föranstaltas, torde det vara fara värdt, att under den afsevärda tid, som tvifvelsutan komme att förflyta, innan utredningen blefve afslutad och något förslag till ny kyrkolag framlagdt för Riksdag och kyrkomöte, det pågående revisionsarbetet skulle kunna anses innebära giltig anledning till att behöfliga, partiella reformer på det kyrkorättsliga området icke blefve genomförda.</w:t>
        <w:br/>
        <w:br/>
        <w:t>Andra kammaren biföll utskottets hemställan utan ett ord, under det att Första kammaren följde den vid betänkandet fogade reservationen, hvilken gick ut på bifall till motionärens framställning.</w:t>
        <w:br/>
        <w:br/>
        <w:t>Äfven denna gång har lagutskottet funnit sig kunna kon- Ifrågasatt utstatera såsom ändamålsenligare att fortgå på de partiella reforrening OM mernas väg, hvilket, på sätt utskottet framhållit och som för oss ”törfattning. alla är väl bekant, särskildt under de senaste åren ledt till be- (Forts.) | tydelsefulla resultat.</w:t>
        <w:br/>
        <w:br/>
        <w:t>Med anledning af hvad jag sålunda tillåtit mig anföra, yrkar jag bifall till utskottets hemställan.</w:t>
        <w:br/>
        <w:br/>
        <w:t>Och dock företer hela detta viktiga lagstiftningsområde bilden af ett hopplöst kaos. Man har med rätta sagt, att kyrkolagen i sitt nuvarande tillstånd verkar mera såsom , en lagruin än som ett lefvande lagverk.</w:t>
        <w:br/>
        <w:br/>
        <w:t>Det säger sig själft, att en lag af denna omfattning, som</w:t>
        <w:br/>
        <w:br/>
        <w:t>bär årtalet 1686 — och detta är fallet med vår nu gällande kyrkolag — är i behof af revision.</w:t>
        <w:br/>
        <w:br/>
        <w:t>Partiella förändringar ha visserligen 1 stor utsträckning skett, så att af kyrkolagens alla paragrafer är det numera knappast halfva antalet, som kvarstå något så när oförändrade; och af dessa äro många så föråldrade, att de icke längre kunna tilllämpas. Men de förändringar, som sålunda skett, ha i betänklig grad rubbat lagens sammanhang och därmed gjort behofvet af en revision så mycket oafvisligare. Vissa delar af lagen afse dessutom ämnen, hvilka numera icke kunna anses tillhöra detta slag af lagstiftning. Därtill kommer, att gränsen mellan den egentliga kyrkolagen och kyrkliga stadgar af administrativ art är ytterst sväfvande. Att ett viktigt lagverk befinner sig i ett sådant skick, kan icke annat än menligt inverka på rättsuppfattningen inom detta område och än mer på det allmänna betraktelsesättet, den allmänna andan i fråga om kyrka och kyrkligt lif. Häri ha vi utan tvifvel att söka en af anledningarna till, att kyrkan i våra dagar 1 så betänklig grad mistat förtroendet bland folket.</w:t>
        <w:br/>
        <w:br/>
        <w:t>Under det gångna seklet hafva upprepade försök gjorts att få till stånd en ny kyrkolag. Mer eller mindre fullständiga förslag till en sådan, utarbetade af särskilda kommittéer, föreligga från 1828, 1846, 1873 och 1891—92. Kyrkomötet har tagit initiativ i frågan 1868, 1903 och 1908. Inom riksdagen har fråga förevarit 1885, 1888, 1905 och 1908.</w:t>
        <w:br/>
        <w:br/>
        <w:t>I allmänhet har man vid dessa försök utgått från en öfvervägande Juridisk syn på frågan. Man har pekat på lagens för-</w:t>
        <w:br/>
        <w:br/>
        <w:t>åldrade och bristfälliga skick och med styrka framhållit krafvet på fasta rättsnormer med rötter i det moderna medvetandet.</w:t>
        <w:br/>
        <w:br/>
        <w:t>Men äfven andra synpunkter, af kyrklig och kyrkopolitisk art, hafva gjorts gällande. I en af generaldirektör Wieselgren år 1885 väckt motion om utarbetande af förslag till ny författning för svenska kyrkan yttras:</w:t>
        <w:br/>
        <w:br/>
        <w:t xml:space="preserve">»Redan länge har svenska statskyrkans ställning varit allt annat än tillfredsställande. Man har vanligen sökt anledningarna härtill i det inre förfall, den andliga liknöjdhet eller död, som inom </w:t>
      </w:r>
      <w:r>
        <w:rPr>
          <w:b/>
        </w:rPr>
        <w:t>henne²</w:t>
      </w:r>
      <w:r>
        <w:rPr>
          <w:b w:val="0"/>
        </w:rPr>
        <w:t xml:space="preserve"> skulle vara rådande. Men om än hvad </w:t>
      </w:r>
      <w:r>
        <w:rPr>
          <w:b/>
        </w:rPr>
        <w:t>henne²</w:t>
      </w:r>
      <w:r>
        <w:rPr>
          <w:b w:val="0"/>
        </w:rPr>
        <w:t xml:space="preserve"> sålunda förevitas å somliga orter och i fråga om vissa </w:t>
      </w:r>
      <w:r>
        <w:rPr>
          <w:b/>
        </w:rPr>
        <w:t>hennes²</w:t>
      </w:r>
      <w:r>
        <w:rPr>
          <w:b w:val="0"/>
        </w:rPr>
        <w:t xml:space="preserve"> medlemmar kan vara sanning, är det däremot oberättigadt, om man betraktar </w:t>
      </w:r>
      <w:r>
        <w:rPr>
          <w:b/>
        </w:rPr>
        <w:t>henne²</w:t>
      </w:r>
      <w:r>
        <w:rPr>
          <w:b w:val="0"/>
        </w:rPr>
        <w:t xml:space="preserve"> i </w:t>
      </w:r>
      <w:r>
        <w:rPr>
          <w:b/>
        </w:rPr>
        <w:t>hennes²</w:t>
      </w:r>
      <w:r>
        <w:rPr>
          <w:b w:val="0"/>
        </w:rPr>
        <w:t xml:space="preserve"> helhet. Kraftig tro, varm nitälskan, uppoffrande kärlek ock frimodig bekännelse inom såväl lärostån-</w:t>
        <w:br/>
        <w:br/>
        <w:t xml:space="preserve">det som de särskilda församlingarna bära </w:t>
      </w:r>
      <w:r>
        <w:rPr>
          <w:b/>
        </w:rPr>
        <w:t>henne²</w:t>
      </w:r>
      <w:r>
        <w:rPr>
          <w:b w:val="0"/>
        </w:rPr>
        <w:t xml:space="preserve"> vittne — om än icke i lika grad öfverallt i landet — att </w:t>
      </w:r>
      <w:r>
        <w:rPr>
          <w:b/>
        </w:rPr>
        <w:t>hennes²</w:t>
      </w:r>
      <w:r>
        <w:rPr>
          <w:b w:val="0"/>
        </w:rPr>
        <w:t xml:space="preserve"> andliga lifs-</w:t>
        <w:br/>
        <w:br/>
        <w:t xml:space="preserve">kraft visserligen ännu icke är utsinad eller förtärd. Men </w:t>
      </w:r>
      <w:r>
        <w:rPr>
          <w:b/>
        </w:rPr>
        <w:t>hon²</w:t>
      </w:r>
      <w:r>
        <w:rPr>
          <w:b w:val="0"/>
        </w:rPr>
        <w:t xml:space="preserve"> lider däremot i annat afseende af en brist, som säkerligen icke mindre än de så ofta omordade inre skadorna hotar </w:t>
      </w:r>
      <w:r>
        <w:rPr>
          <w:b/>
        </w:rPr>
        <w:t>hennes²</w:t>
      </w:r>
      <w:r>
        <w:rPr>
          <w:b w:val="0"/>
        </w:rPr>
        <w:t xml:space="preserve"> bestånd. </w:t>
      </w:r>
      <w:r>
        <w:rPr>
          <w:b/>
        </w:rPr>
        <w:t>Hon²</w:t>
      </w:r>
      <w:r>
        <w:rPr>
          <w:b w:val="0"/>
        </w:rPr>
        <w:t xml:space="preserve"> lider brist på organisation.» </w:t>
      </w:r>
      <w:r>
        <w:rPr>
          <w:b/>
        </w:rPr>
        <w:t>Hon²</w:t>
      </w:r>
      <w:r>
        <w:rPr>
          <w:b w:val="0"/>
        </w:rPr>
        <w:t xml:space="preserve"> har i detta afseende icke följt med sin tid!</w:t>
        <w:br/>
        <w:br/>
        <w:t>Den Wieselgrenska motionen föll. Men i en annan i Första kammaren år 1908 väckt motion hafva liknande synpunkter åter gjorts gällande. Det yttras i denna motion, bland annat:</w:t>
        <w:br/>
        <w:br/>
        <w:t>» Vårt samhällsskick står i politiskt och borgerligt afseende inför en genomgripande omgestaltning, och det gäller att undersöka, i hvad mån denna omgestaltning kan komma att beröra förhållandet mellan kyrkan och samhället i öfrigt. Då allt flera och allt större kyrkliga frågor tränga fram till afgörande och behofvet af en klar och principfast ställning till de kyrkliga spörsmålen, sådana de i vår tid te sig, alltmera gör sig gällande, ligger det fara uti att längre uppskjuta den ingående principbehandling af de kyrkliga frågorna, som är möjlig endast vid ett fullständigt öfvervägande i ett sammanhang af alla dithörande ämnen.»</w:t>
        <w:br/>
        <w:br/>
        <w:t>Denna motion bifölls af Första kammaren. Andra kammaren afslog motionen. Men att äfven sistnämnda kammare anser det nuvarande tillståndet ohållbart och en förändring af kyrkoförfattningen sålunda nödvändig, torde med tillräcklig tydlighet framgå däraf, att Andra kammaren för sin del år 1909 beslöt skrifvelse till Kungl. Maj:t med anhållan om utredning, om och på hvad sätt det nuvarande sambandet mellan kyrkan och staten lämpligen kunde blifva upplöst. Bakom detta beslut stå nog skilda meningar; men fertalets tanke har helt visst varit den, att dock, äfven efter bandets lossande, den svenska staten skall vara en kristen stat och det svenska folket ett kristet folk. Men därtill kräfves en hela folket omfattande kyrklig organisation.</w:t>
        <w:br/>
        <w:br/>
        <w:t>Jag gillar tzeke Andra kammarens nämnda beslut; men jag åberopar Ifrågasatt utdet såsom ett bevis för, att icke blott denna kammare utan äfven redning ke den Andra ansett en förändring nödvändig. to fatt AG 5 ; : Orfatining.</w:t>
        <w:br/>
        <w:br/>
        <w:t>Liksom inom riksdagen så har äfven inom kyrkomötet be- (Forts.) hofvet af en ny kyrkoförfattning genom formligt beslut uttalats; 1908 års kyrkomöte beslöt nämligen, efter motioner af generaldirektör Wieselgren, biskop Tottie m. £fl., i underdånig skrifvelse anhålla, att Kungl. Maj:t täcktes låta verkställa utredning, om och i hvilken form ett mera aktivt deltagande och ett förökadt inflytande på det kyrkliga området skulle kunna beredas åt kyrkans lekmannamedlemmar, och att vid sådan utredning särskildt måtte tagas i öfvervägande, huruvida icke nämnda syfte säkrast kunde vinnas genom en fullständigare tillämpning af synodalförfattningens grundsatser.</w:t>
        <w:br/>
        <w:br/>
        <w:t>Det är detta kyrkomötets yrkande jag upptagit i min nu föreliggande motion med tillägg, att i följd häraf, om utredningen därtill föranleder, åtgärder måtte vidtagas för utarbetande af en ny fullständig kyrkoförfattning att träda i stället för 1686 års kyrkolag.</w:t>
        <w:br/>
        <w:br/>
        <w:t>Det lär väl numera icke längre kunna blifva tal om allenast en revision af kyrkolagen på den gamla grunden. Det var under konung Karl den XI:s envåldstid denna grund lades; och vår kyrkoförfattning bär ännu i mycket spår af den tidens uppfattning. Men vi känna alla, att en ny tid har brutit in: 1862 års omgestaltning af den kommunala själfstyrelsen och 1909 års rösträttsreform hafva icke kunnat undgå att sträcka sina verkningar äfven till kyrkans område. Det nya i tiden, det som ger äfven det religiösa lifvet i våra dagar dess säregna karaktär, är folkets omedelbara deltagande, uti såväl arbetet som ansvaret. På det kyrkliga området betyder detta — såsom också kyrkomötet i sin ofvannämnda hemställan till Kungl. Maj:t uttalat — ett mera aktivt deltagande och ett förökadt inflytande åt kyrkans lekmannamedlemmar. En sträfvan från lekmännens sida isådan riktning har redan länge gjort sig förnimbar. Redan i medlet af förra århundradet bereddes — visserligen icke inom kyrkan, men i nära anslutning till denna — vissa former för lekmännens deltagande genom upprättandet af Evangeliska Fosterlandsstiftelsen. En fortsättning på samma väg, men mera i riktning från kyrkan, betecknar bildandet på 1870-talet af Svenska Missionsförbundet. Det utrymme, som sålunda lämnades lekmännen att insätta sitt intresse och sitt arbete på att främja kristlig tro och kristligt lif, har i hög grad bidragit till att framkalla den lifaktighet på det religiösa området, som allt mera gör sig gällande och som med rätta har betecknats såsom en religiös renässans.</w:t>
        <w:br/>
        <w:br/>
        <w:t>Att lifvet i viss mån bröt sig väg, icke inom, utan vid sidan af kyrkan är att beklaga, enär därigenom förorsakats en svår</w:t>
        <w:br/>
        <w:br/>
        <w:t>rika tecken tyda på, att denna splittringens tid nu nalkas sitt slut, och att ett återvändande till kyrkan förestår. Väckelsen har nått äfven kyrkan; där spirar ett nytt friskt lif. Visserligen synes ännu mycket oklart; mycket skum af rationalism och</w:t>
        <w:br/>
        <w:br/>
        <w:t>mänskliga hugskott hvirflar på ytan, men — såsom det yttrades i kyrkomötet -— om också kyrkan för närvarande i mycket före-</w:t>
        <w:br/>
        <w:br/>
        <w:t>ter bilden af ett kaos, så sväfvar dock anden däröfver. Djupt under den upprörda ytan går en mäktig ström af äkta evangelisk tro; den begär blott de rätta formerna för att bryta fram i pulserande lif. En början är redan gjord. På kyrkomötets hemställan konstituerades genom ett kungl. bref af den 4 februari 1910 svenska kyrkans diakonistyrelse, som har till uppgift att i samarbete med präster och lekmän inom församlingarna och i samförstånd med stiftstyrelserna verka för en rikare utveckling af församlingslifvet och den kristliga kärleksverksamheten inom den svenska kyrkan. Här öppnas nya vägar och oanade utsikter för lekmännens deltagande i det kyrkliga lifvet, men det är icke 209. De måste ha sin gifna och berättigade plats i själfva kyrkoförfattningen. Först då blir denna skickad att motsvara tidens kraf. Lekmännens deltagande och intresse, det är den nya kraft, kyrkan behöfver för sin föryngring; det är också den makt, som skall kunna åter förvärfva åt kyrkan folkets kärlek och förtroende. Ty arbete föder kärlek och tilltro till den sak, man arbetar för; men den, som hålles utanför arbetet, blir lätt likgiltig, ofta äfven misstroende. Vår svenska kyrka har fått göra denna bittra erfarenhet. Men därför gäller det också nu att med så mycket större ifver godtgöra det försummade.</w:t>
        <w:br/>
        <w:br/>
        <w:t>Står det sålunda fast, att den nya kyrkoförfattningen bör byggas på sådan grund, att — såsom kyrkomötet yttrat — ett mera aktivt deltagande och ett förökadt inflytande på det kyrkliga området må kunna beredas åt kyrkans lekmannamedlemmar, så uppstår frågan, huru detta lämpligast bör ske.</w:t>
        <w:br/>
        <w:br/>
        <w:t>Därvid finns väl knappast mer än en väg att gå. Lekmannaelementets inordnande i kyrkoförfattningen kan ske endast genom former för representation. Vi hafva därvid i vårt land fördelen att kunna direkt anknyta utvecklingen till redan bestående, om ock alltför svagt utvecklade former af denna art.</w:t>
        <w:br/>
        <w:br/>
        <w:t>Fullständigast utvecklade äro dessa former i de lokala församlingarna, där kyrkostämmorna erbjuda tillfällen till ett lifligt deltagande från lekmännens sida. Detta deltagande är dock inskränkt till ekonomiska frågor eller eljest till frågor, som hufvudsakligen beröra den yttre sidan af det kyrkliga lifvet, såsom om vidmakthållande af ordning under gudstjänsten, val af kyrkovärdar och öfriga ledamöter i kyrkoråd, organisters, klockares och annan kyrkobetjänings tillsättande och afskedande, fördelning af bänkrum i kyrkan, ordnande och fördelning af begrafningsplatser m. m.</w:t>
        <w:br/>
        <w:br/>
        <w:t>Vända vi våra blickar till stiften, så finna vi, att därstädes Ifrågasatt utalls inga former förefinnas för en stiftsrepresentation vid bisko- Jodnäng ka pens och domkapitlets sida. Och en sådan skulle dock hafva författning. en stor uppgift att fylla såväli fråga om de yttre anordningarna (Forts.) för det kyrkliga lifvet som i fråga om kyrkotukt, ämbetskontroll, den kristliga kärleksverksamhetens planmässiga och ändamålsenliga anordnande, missionsverksamhet, folkundervisningsväsende och mycket annat.</w:t>
        <w:br/>
        <w:br/>
        <w:t>I kyrkomötet äger kyrkan i sin helhet en verklig representation, men alltför svagt utvecklad. Denna representation sammanträder, enligt regeln, hvart 5:te år. Dess lekmannamedlemmar äro till antalet högst 32, valda genom elektorer för landets alla församlingar.</w:t>
        <w:br/>
        <w:br/>
        <w:t>Kyrkomötet är dock den institution, som bildar den egentliga bryggan öfver till den nya kyrkoförfattningen.</w:t>
        <w:br/>
        <w:br/>
        <w:t>Man har inom riksdagen upprepade gånger, senast uti en inom Andra kammaren vid 1910 års riksdag väckt motion om upphäfvande af kyrkomötets vetorätt, ifrågasatt, huruvida kyrkomötet verkligen är att betrakta såsom en kyrkans representation, och i stället sökt göra gällande, att kyrkomötet i första rummet representerar prästerskapet och dess särskilda ståndsintressen. Enligt denna uppfattning betraktas mötets inrättande hufvudsakligen såsom ett »vederlag» åt Sveriges prästerskap för dess bifall till representationsreformen 1866.</w:t>
        <w:br/>
        <w:br/>
        <w:t>Denna uppfattning är dock oriktig. Tanken på en särskild representation för den svenska kyrkan framställdes redan på 1820- och 1830- talen. Ar 1844 förekom frågan för första gången inom prästeståndet vid riksdagen. Den upptogs vidare af 1846 års kyrkolagskommitté; framfördes åter vid riksdagarna 1853—54, 1856—358 och 1859—560. Det var emellertid först i samband med representationsreformen förslaget slog igenom. I den kungl. propositionen betonades uttryckligen, att kyrkomötesinstitutionen vore behöflig »i samma mån som nationalrepresentationen vore mindre lämpligt sammansatt för att lämna ett sant uttryck af kyrkans alla önskningar och behof». Afven lagutskottet framhöll särskildt det kyrkliga intresset såsom det vid frågans afgörande hufvudsakligen bestämmande, helst som representationsreformens öde först tvenne år därefter kunde grundlagsenligt afgöras och kyrkomötets införande således skulle blifva oberoende däraf. Det var det kyrkliga själfständighetssträfvandet, som här vann sin första seger, låt vara med begagnande af det politiska läget.</w:t>
        <w:br/>
        <w:br/>
        <w:t>Hvad som i nu föreliggande motion föreslås, är endast ett fortskridande på samma väg. Det kyrkomöte, jag siktar på, skall i det hela hafva samma karaktär som det nuvarande, men vara ett fullkomligare, ett fylligare uttryck för den kyrka det representerar. Stiftet, som nu saknar all verklig repregentation, skall erhålla en sådan, sammansatt efter enahanda grunder som de, hvilka</w:t>
        <w:br/>
        <w:br/>
        <w:t>blifva bestämmande för kyrkomötets sammansättning. Församlingarna skola fortfarande representeras af sina kyrkostämmor, eller ännu hellre af valda fullmäktige med befogenhet äfven i frågor, som beröra det kristliga lifvet i egentlig mening, särskildt kärleksverksamheten i församlingarna.</w:t>
        <w:br/>
        <w:br/>
        <w:t>Genom en till följd af kyrkans själfständigare ställning gent emot staten möjlig verksammare kyrkotukt och sannare kristlig anda, genom det ökade förtroendet för en reformerad och ånyo lifskraftig kyrka och genom en sådan anordning, att de högre korporationerna — kyrkomötet och stiftsrepresentationerna — blifva till väsentlig del sammansatta af personer, som i de lägre organisationerna — i kyrkoråd eller kyrkofullmäktige — tagit del uti och fostrats för de kyrkliga uppgifterna, vinnes garanti för, att det ökade lekmannainflytandet skall blifva till verkligt gagn för kyrkan och för det religiösa lifvet bland vårt folk. Kyrkomötet, som väl härutinnan är mest omdömesgillt, har icke heller tvekat att visa lekmännen det förtroende härutinnan, som kräfves.</w:t>
        <w:br/>
        <w:br/>
        <w:t>Lagutskottet har till fullo erkänt »vikten och betydelsen däraf, att lekmannaelementets inflytande på det kyrkliga området ökas». Att utskottet likaledes erkänner behofvet af en lagstiftning, som kan bringa ordning och reda i det kaotiska virrvarr, som nu utmärker vår kyrkliga lagstiftning, får väl tagas för gifvet, ehuru icke ett ord därom säges i motiveringen. Detta behof är redan af föregående riksdagars lagutskott till fullo konstateradt; och i det afseendet har icke heller innevarande års lagutskott intagit någon afvikande hållning.</w:t>
        <w:br/>
        <w:br/>
        <w:t>Men trots det, att behofvet af en ny lagstiftning på området är konstateradt, trots det att vikten och betydelsen däraf, att lekmannaelementet beredes ökadt inflytande på de kyrkliga angelägenheterna, till fullo erkännes, och trots det att ett sådant ökadt inflytande för lekmännen på de kyrkliga angelägenheterna icke kan beredas på annat sätt än genom införande af kyrklig själfstyrelse under representativa former, hemställer utskottet i alla fall, att förslaget »icke måtte till någon riksdagens åtgärd föranleda».</w:t>
        <w:br/>
        <w:br/>
        <w:t>Utskottet vill icke ens på det sätt, som i reservationen begärts, medverka till en utredning af dessa viktiga, för hvarje dag som går allt mera trängande frågor! Så långt borde väl dock meningarna kunnat enas!</w:t>
        <w:br/>
        <w:br/>
        <w:t>Utskottets skäl för afslag är fyra; jag skall genomgå dem punkt för punkt.</w:t>
        <w:br/>
        <w:br/>
        <w:t>För det första finner utskottet det nu framställda förslaget lida af väsentligen samma brister, som lagutskottet vid 1885 års riksdag fann vidlåda ett af generaldirektör Wieselgren då framställdt liknande förslag. MHuvilka voro då dessa brister? De angifvas å sid. 2 i föreliggande betänkande. Utskottet hade ansett, att en skrifvelse till Kungl. Maj:t i ett så omfattande ämne borde</w:t>
        <w:br/>
        <w:br/>
        <w:t>innefatta en framställning af bestämda, ej för allmänt angifna Ifrågasatt uthufvudgrunder för omorganisationen. ERE ke</w:t>
        <w:br/>
        <w:br/>
        <w:t>Jag vill till belysning af halten utaf denna utskottets invänd- "Författning. ning erinra om en annan riksdagens skrifvelse, som gaf upphot (Forts.) till en säkerligen än mer genomgripande reform än den, som nu föreslås. Jag menar riksdagens skrifvelse den 20 maj 1902 med begäran om utredning af frågan om utsträckt valrätt till Riksdagens Andra kammare. I denna skrifvelse fanns icke ett ord om den riktning, i hvilken reformen borde gå. Det proportionella valsättet hade visserligen i enskilda motioner och i debatten bragts på tal, men antydningarna om, huru valsättet borde anordnas, voro ytterst sväfvande.</w:t>
        <w:br/>
        <w:br/>
        <w:t>Jag har dock i min motion angifvit både bestämda och för ett skrifvelseförslag — såsom jag tror — icke för litet utan kanske snarare för mycket i detalj gående grundriktningar till den nya författningen.</w:t>
        <w:br/>
        <w:br/>
        <w:t>Utskottets andra invändning träffar icke heller förslaget utan snarare utskottet själft, i det att utskottet säger sig icke ha kunnat öfverblicka förslagets närmare innebörd och verkningar.</w:t>
        <w:br/>
        <w:br/>
        <w:t>Det uttalas dock i motionen på det allra mest otvetydiga sätt, att förslagets innebörd är: först och främst att bringa ordning och reda uti rättsbestämmelserna på detta viktiga lagstiftningsområde; och vidare att bereda ett mera aktivt deltagande och ett förökadt inflytande på det kyrkliga området åt kyrkans lekmannamedlemmar, att sålunda åstadkomma en demokratisering af kyrkoförfattningen i riktning mot ökad kyrklig själfstyrelse och att på detta sätt bringa det kyrkliga samfundslifvet till närmare öfverensstämmelse med våra dagars sambhällslif i öfrigt på det borgerliga och politiska området.</w:t>
        <w:br/>
        <w:br/>
        <w:t>Utskottets tredje invändning är baserad därpå, att Riksdagen år 1909 i skrifvelse till Kungl. Maj:t begärt utredning angående villkoren för rätt att utträda ur kyrkan.</w:t>
        <w:br/>
        <w:br/>
        <w:t>Utskottet finner det nämligen icke utan synnerlig svårighet låta sig göra att, innan klarhet vunnits såväl i detta afseende som beträffande kyrkans därmed nära sammanhängande ställning för öfrigt till staten och kommunen samt dess organ, upptaga den nu väckta frågan till ingående bedömande.</w:t>
        <w:br/>
        <w:br/>
        <w:t>Denna af utskottet åberopade skrifvelse tillkom på grund af en utaf mig väckt motion. Jag ville därmed bana väg för den nya kyrkoförfattningen.</w:t>
        <w:br/>
        <w:br/>
        <w:t>Men jag betonade uttryckligen i den motionen, att utredningen om rätten till utträde ur kyrkan icke kunde ske fristående, utan att den måste företagas i sammanhang med äfven nu föreliggande frågor, eftersom medgifvandet af fritt utträde medför en principiell omgestaltning af förhållandet mellan kyrka och stat, en omgestaltning, som måste utmynna däri, att kyrka och stat visserligen fortfarande 'förblifva intimt förbundna, men dock ställas</w:t>
        <w:br/>
        <w:br/>
        <w:t>relativt själfständiga gentemot hvarandra just på det sätt, som i det nu föreliggande förslaget till ny kyrkoförfattning påyrkas. Utskottet medger, att frågan om rätt till fritt utträde ur kyrkan framtvingar en utredning beträffande kyrkans därmed nära sammanhängande ställning för öfrigt till staten och kommunen. Det är just denna utredning, som nu begäres; så att långt ifrån att utgöra ett skäl emot mitt förslag, utgör riksdagens skrifvelse med begäran om utredning af frågan om rätt till utträde ur kyrkan ett det starkaste skäl för bifall till just detta förslag.</w:t>
        <w:br/>
        <w:br/>
        <w:t>Lagutskottets fjärde och sista skäl för motionens afstyrkande är det gamla kardinalskälet mot alla mera omfattande lagstiftningsförslag, nämligen att det är ändamålsenligare att fortgå på de partiella reformernas väg.</w:t>
        <w:br/>
        <w:br/>
        <w:t>Utskottet säger, att denna väg särskildt under de senaste åren ledt till synnerligen betydelsefulla resultat. Det är sant! De stora frågorna om tillsättning af prästerliga tjänster, om ny lönereglering för prästerskapet och om det ecklesiastika boställsväsendet äro lösta genom fjolårets beslut. Men just därför, just emedan de stora reformfrågor, som hittills stått på dagordningen, nu blifvit lyckligen lösta, är tiden för en omfattande författningsrevision den allra lämpligaste.</w:t>
        <w:br/>
        <w:br/>
        <w:t>Den enda stora fråga på det kyrkliga området, som mera fristående förts fram och ännu ej vunnit sin lösning, är frågan om domhkapitlens omorganisation, på hvilken också i utskottsutlåtandet pekas. Men om man — såsom utskottet på sid. 3 gör — lämnar ett fullt och obetingadt erkännande åt vikten och betydelsen af, att lekmannaelementets inflytande på det kyrkliga området ökas, och detta icke kan ske utan genom en författningsrevision, hvarigenom lämpliga former skola beredas för lekmännens ökade deltagande, och man därjämte besinnar, att det är framför allt på stiftsstyrelsens område, där all lekmannarepresentation för närvarande saknas, som en förändring är af nöden, så finner man, att frågan om domkapitlens omorganisation numera icke kan lösas annat än i sammanhang med frågan om ny kyrkoförfattning. Jag kan sålunda icke finna, att lagutskottet anfört något verkligen hållbart skäl emot förslaget.</w:t>
        <w:br/>
        <w:br/>
        <w:t xml:space="preserve">Jag erinrade i början af mitt anförande, att den svenska statskyrkans ställning redan länge varit allt annat än tillfredsställande. Delvis beror nog detta på brister, som förekommit och ännu förekomma i </w:t>
      </w:r>
      <w:r>
        <w:rPr>
          <w:b/>
        </w:rPr>
        <w:t>hennes²</w:t>
      </w:r>
      <w:r>
        <w:rPr>
          <w:b w:val="0"/>
        </w:rPr>
        <w:t xml:space="preserve"> eget inre lif och som gjort, att mången vändt sitt förtroende ifrån </w:t>
      </w:r>
      <w:r>
        <w:rPr>
          <w:b/>
        </w:rPr>
        <w:t>henne²</w:t>
      </w:r>
      <w:r>
        <w:rPr>
          <w:b w:val="0"/>
        </w:rPr>
        <w:t xml:space="preserve">; men till väsentlig del beror detta beklagliga förhållande därpå, att </w:t>
      </w:r>
      <w:r>
        <w:rPr>
          <w:b/>
        </w:rPr>
        <w:t>hon²</w:t>
      </w:r>
      <w:r>
        <w:rPr>
          <w:b w:val="0"/>
        </w:rPr>
        <w:t xml:space="preserve"> saknat lämplig organisation. Jag vet, att de yttre formerna icke äro hufvudsak. Men lifvet behöfver dessa former för att kunna utveckla hela sin inneboende rikedom. Jag är öfvertygad om, att en gång, då den nya kyrkobyggnaden står färdig, den också skall i rikt mått fyllas af lefvande tro och verksam kärlek. Med denna ljusa syn</w:t>
        <w:br/>
        <w:br/>
        <w:t>på den Svenska evangelisk-lutherska kyrkans framtid och bety- Ifrågasatt utdelse för vårt folk, anhåller jag, herr talman, att få yrka bifall a om en</w:t>
      </w:r>
    </w:p>
    <w:p>
      <w:pPr>
        <w:pStyle w:val="Heading2"/>
      </w:pPr>
      <w:r>
        <w:t>2. Jacob Larsson (Liberala samlingspartiet, man)</w:t>
      </w:r>
    </w:p>
    <w:p>
      <w:r>
        <w:rPr>
          <w:b w:val="0"/>
        </w:rPr>
        <w:t>På samma gång jag ber att få till- (Ren</w:t>
        <w:br/>
        <w:br/>
        <w:t>kännagifva min anslutning till hvad utskottet anfört likasom till utskottets hemställan, till hvilken jag kommer att yrka bifall, anhåller jag att få ställa in den föreliggande motionen under vissa synpunkter, som alls icke berörts af utskottet och af helt naturliga skäl ej heller kunnat det. Om jag därvid icke kan undgå att i någon mån komma in på den från samma hand utgångna motion, som behandlats af lagutskottet i dess utlåtande nr 9, beror det därpå, att de ämnen, som motionären gjort till föremål för de två särskilda motionerna, stå till hvarandra i ett synnerligen intimt inre samband samt också därpå, att motionären själf i yttre måtto sammanbundit de två ämnena genom att uti ingressen till såväl den ena som den andra motionen uppställa dem såsom hufvudpunkter på ett och samma kyrkliga program. Det lär därför vara omöjligt att i det hänseende, som jag åsyftar, beröra det ena ämnet utan att också i någon mån komma in på det andra.</w:t>
        <w:br/>
        <w:br/>
        <w:t>Motionären finner det egendomligt, att sträfvandena för en revision och en omläggning i mera demokratisk anda af vår föråldrade kyrkoförfattning rönt mesta motståndet från Riksdagens Andra kammare. För min del kan jag icke finna det egendomligt alls. Jag har själf både 1905 och 1908 i min mån bidragit till, att de då väckta förslagen i ämnet fallit inom Andra kammaren. Och jag tror mig veta, att de skäl, som varit för mig hufvudsakligen ledande, också varit bestämmande för kanske den största delen af Andrakammaremajoriteten. Det har alls icke varit någon bristande sympati för kyrkoförfattningens omläggning i demokratisk anda, som kunnat förebrås Andrakammaremajoriteten. Nej, man har haft en alldeles bestämd förkänsla af, att en helt annan anda skulle kunna komma att, i hägnet af en ny och således mera lifskraftig kyrkoförfattning, söka göra sig gällande med vida större styrka än som varit möjligt eller kan bli möjligt med vår nuvarande skröpliga kyrkolag. Den religiösa intoleransens och ljusskygghetens anda skulle nog försöka och äfven lyckas att med okunnighetens och fördomarnas hjälp utnyttja de nya formerna för att skaffa sig luft under vingarna. Det är detta man fruktat, det är sådana sträfvanden, man icke velat understödja. Nu menar motionären, att motståndet skulle kunna anses vara principiellt brutet genom den ståndpunkt, Andra kammaren år 1909 intagit dels till frågan om vidgad rätt till utträde ur kyrkan, dels till frågan om skilsmässa mellan stat och kyrka. Jag tror, att motionären misstager sig storligen, om han menar, att Andra kammaren genom att i de frågorna intaga den ståndpunkt, som den gjorde år 1909,</w:t>
        <w:br/>
        <w:br/>
        <w:t>många föregående tillfällen och som det sannolikt länge kommer att vara, att förutsättningar saknas för att bringa till enighet uppfattningarna om den riktning, i hvilken det nya kyrkolagstiftningsarbetet bör gå. Jag behöfver endast erinra om första paragrafen i kyrkolagens första kapitel, för att herrarna litet hvar må få fullt klart för sig, att den utredning, som här ifrågasättes, skall säkerligen komma att redan i begynnelsen stranda, då den skall försöka lotsa sig fram mellan de olika ståndpunkternas Skylla och Karybdis, när det gäller förpliktelsen till bekännelseskrifterna.</w:t>
        <w:br/>
        <w:br/>
        <w:t>Motionären angifver här i sin motion nr 1, att kyrkoförfattningens demokratisering skulle vara ett af medlen till att »söka leda utvecklingen därhän, att kristendomens välsignelser icke blott bevaras åt vårt folk, utan i allt rikare mått komma detsamma till godo». Det andra medlet har man väl att söka i den garanti, som motionären i sin motion nr 2 vill söka skapa för en religionsundervisning, som står i öfverensstämmelse med vår evangelisklutherska kyrkas lära och bekännelse. Jag tror, att jag icke gör den ärade motionären orätt, om jag vågar det antagandet, att han här i sin uppfattning om kristendomen, särskildt sådan den framträder i den evangelisk-luterska kyrkans lära och bekännelse befinner sig den allra trognaste öfverensstämmelse med den anda, som möter oss i första paragrafen af kyrkolagens första kapitel, och att, om det blefve motionären beskärdt att få deltaga i det lagstiftningsarbete, han nu vill inaugurera, han alldeles säkert skulle af sitt samvete känna sig absolut förhindrad att bidraga till en lagstiftning, som bortrensar hvarje lagbud med syfte att binda förkunnelsen i kyrka och skola vid någonting annat än förkunnarens eget förstånd och samvete.</w:t>
        <w:br/>
        <w:br/>
        <w:t>Nu har motionären icke på något sätt antydt, hvilka befogenheter som skulle tillkomma de kyrkliga organ, genom hvilkas införande man skulle tillämpa synodalförfattningens principer. Han har icke på något tydligt sätt angifvit sin ställning till den frågan, men motionen saknar icke ganska starka antydningar om, i hvilken riktning hans sympatier gå. Han har i sin motion gifvit ett ganska framträdande rum åt den från en af numera aflidne generaldirektören Wieselgrens motion i kyrkomötet hämtade framställningen af synodalförfattningens tillämpning i Tyskland, enkannerligen i Preussen, och fastän motionären betonar, att den tyska kyrkoförfattningen icke får utan vidare öfverflyttas till svensk botten, förekommer i alla fall icke någonting, som angifver, att motionären skulle taga afstånd från tanken att åt de blifvande kyrkoorganen hos oss inrymma befogenheter af den art, som i Preussen tillkomma provinsialsynoden med afseende å öfvervakandet af lära och</w:t>
        <w:br/>
        <w:br/>
        <w:t>prästbildning och synodalstyrelsen i fråga om mål rörande af Ifrågasatt utförsamling förd klagan mot utsedd församlingsprästs lära eller "enig oxyen kallelse å präst, som icke hyllar kyrkans bekännelse eller discipli- ” närundersökning mot irrläriga präster. Det är nog nödvändigt, (Forts ) att man erhåller full klarhet med afseende å denna punkt. | Åtskilliga tilldragelser under senare tiden göra det till en oafvislig plikt att här stå på vakt mot religiös ofördragsamhet. Och att faran för sådan skulle förebyggas genom att, på sätt motionären föreslagit, inrymma en viss representation åt lekmannaelementet, tror jag icke. Atskilliga företeelser inom Svenska Missionsförbundet och särskildt på allra sista tiden inom Evangeliska fosterlandsstiftelsen, hvilka båda korporationer väl hufvudsakligast behärskas af lekmannaelement, visa, huru litet man i det stycket kan bygga på lekmannaelementet. Och vilja vi gå till vår statskyrka, kunna vi äfven där peka på åtskilliga företeelser af ganska egendomlig art. Jag vill endast erinra om den herostratiska ryktbarhet, som för icke länge sedan kyrkorådet i Lund lyckades förvärfva genom att hos domkapitlet söka inskridande mot en af stiftets mest upplysta präster för irrlärighet. Här finnas nog så djupa dissonanser på detta område, att det skulle vara mycket betänkligt att under nu rådande förhållanden inlåta sig på en sådan lagstiftning, som här är ifrågasatt.</w:t>
        <w:br/>
        <w:br/>
        <w:t>Det kan icke vara herrarna obekant, att för närvarande pågår inom hela den protestantiska världen en delvis häftig, men framför allt för hela vår framtida utveckling synnerligen betydelsefull andlig kulturkamp. Och svallvågorna af denna kulturkamp ha för länge sedan nått äfven vårt land. Det kan icke heller vara någon af herrarna obekant, att den moderna, evolutionistiska världsuppfattningen skiljes genom en både bred och djup klyfta från den världsuppfattning, på hvilken den kyrkliga dogmbyggnaden hvilar. Det pågår ett högst betydelsefullt vetenskapligt arbete för att söka bygga bro öfver den klyftan mellan gammal och modern åskådning. Det är alldeles omöjligt för en religiöst bestämd person med en modern världsuppfattning att fasthålla vid den lärobyggnad, som formulerats i de s. k. evangelisk-luterska kyrkans bekännelseskrifter. Det gäller därför framför allt att utifrån den moderna värdsuppfattningen söka forma nya uttryck för den religiösa tron. Det finnes äfven inom vår kyrka en alltjämt växande skara af tviflande, spörjande människor, som med längtan vilja anamma budskapet, som förkunnar frihet åt de fångna. Men å andra sidan kunna vi icke komma ifrån, att stora lager af både vårt svenska kyrkofolk och vårt svenska frireligiösa folk ännu äro fångna i den vanföreställningen, att dogmerna, lärosatserna, de mänskliga utformningar, som varit betydelsefulla och viktiga för sin tid, men som icke kunna förenas med en ny tids åskådningar, att dessa former och formler äro just själfva innehållet i den religiösa tron. Det är däraf bitterheten funnit näring. Just</w:t>
        <w:br/>
        <w:br/>
        <w:t>af denna vanföreställning att en kritik af eller ett angrepp på de</w:t>
        <w:br/>
        <w:br/>
        <w:t>skulle vara ett angrepp mot tron, just däraf kommer detta fanatiska motstånd mot den sträfvan efter andlig frigörelse, som i alla fall med kraft går fram i vår tid och icke minst i vår kyrka. Det har icke längesedan uttalats ett allvarets ord af en svenska kyrkans biskop. Det riktades närmast till svenska kyrkomötet vid dess öppnande sistlidne höst, men det borde stå såsom ett ord uttaladt till hela den svenska kyrkan, både klerk och lekt. Jag skall tillåta mig uppläsa ett par rader af biskop Personnes predikan vid senaste kyrkomötet. Han betonar däri, huru litet man inom vår kyrka vill korrigera de oriktiga föreställningarna om hvad tro är, och därtill fogar han följande ord: »Huru många är det icke, som ha blifvit uppfostrade till att i alla dessa af människor uttänkta läror, föreläsningar, uppfattningsformer af Gud, af Herren Kristus, af återlösningen, af sakramenten, se just själfva trons innehåll och som därför betrakta det såsom ett angrepp på tron, på kristendomen, på Herren Kristus själf, om man gör anmärkningar mot dessa gamla läroframställningar och uppfattningsformer. Detta är ju en fruktansvärd förvillelse, lika svår som mycket annat som kyrkan kallar för förvillelse. Det är kyrkans plikt att upplysa människorna om denna förvillelse och söka taga dem ut ur denna förvillelse.&gt; - Mina herrar, då svenska kyrkan vaknar till insikt om denna sin plikt, då kunna förutsättningarna för ett fruktbärande lagstiftningsarbete på det kyrkliga området vara inne. Men så länge kyrkan ännu icke vaknat till insikt om sin plikt i detta hänseende, så länge måste en kyrkoförfattning, som enligt motionärens önskan skulle skapa en i förhållande till statsmakterna jämförelsevis själfständig kyrka och en religionsundervisning, också i förhållande till statsmakterna själfständig, men absolut bunden under denna i förhållande till staten själfständiga kyrka, innebära den allvarligaste fara för vår andliga folkkultur. Det är vår plikt att göra hvad vi kunna för att utestänga denna fara, och därför skall jag, herr talman, yrka bifall till utskottets hemställan. ;</w:t>
      </w:r>
    </w:p>
    <w:p>
      <w:pPr>
        <w:pStyle w:val="Heading2"/>
      </w:pPr>
      <w:r>
        <w:t>3. Ernst Trygger (Första kammarens nationella parti, man)</w:t>
      </w:r>
    </w:p>
    <w:p>
      <w:r>
        <w:rPr>
          <w:b w:val="0"/>
        </w:rPr>
        <w:t>Amnet är så utdebatteradt, att jag endast skall be att i några ord få angifva min ståndpunkt till frågan.</w:t>
        <w:br/>
        <w:br/>
        <w:t>Det kan väl icke vara mer än en mening i det afseendet, att det i våra dagar är af den största vikt för vårt land, att det religiösa lifvet vårdas och befordras, och att alla krafter samverka för att bevara åt vårt folk de andliga värdena, af hvilka vårt folk är i så stort behof — nu mera än någonsin. Och att kyrkan därvid har en stor och viktig uppgift, det torde väl också vara obestridligt. Jag tror icke, att jag misstager mig, om jag förklarar, att Riksdagen genom sina beslut år 1910 tydligen visade,</w:t>
        <w:br/>
        <w:br/>
        <w:t>att Riksdagen fattar kyrkans ställning så, som jag nu här söäning om oh</w:t>
        <w:br/>
        <w:br/>
        <w:t xml:space="preserve">Men kyrkan är enligt sin egen uppfattning icke tillräckligt fattning. rustad för att fylla sin kräfvande uppgift. Kyrkan begär refor- (Forts. mering. </w:t>
      </w:r>
      <w:r>
        <w:rPr>
          <w:b/>
        </w:rPr>
        <w:t>Hon²</w:t>
      </w:r>
      <w:r>
        <w:rPr>
          <w:b w:val="0"/>
        </w:rPr>
        <w:t xml:space="preserve"> vill hämta nya krafter ur folket själft genom att bereda mera inflytande åt lekmannaelementet. </w:t>
      </w:r>
      <w:r>
        <w:rPr>
          <w:b/>
        </w:rPr>
        <w:t>Hon²</w:t>
      </w:r>
      <w:r>
        <w:rPr>
          <w:b w:val="0"/>
        </w:rPr>
        <w:t xml:space="preserve"> vill jämväl frigöras från lagbestämmelser, som äro föråldrade, som icke tilllämpas, och som just därföre att de icke tillämpas, undergräfva aktningen äfven för de bestämmelser, som böra tillämpas. Och denna kammare har i sistnämnda afseende år 1905 på det tydligaste sätt uttalat sin mening, då kammaren begärde en revision af vår nuvarande kyrkolag. Ar det möjligt, att, när situationen är denna, Riksdagen skulle ställa sig likgiltig och vägra kyrkan det stöd, </w:t>
      </w:r>
      <w:r>
        <w:rPr>
          <w:b/>
        </w:rPr>
        <w:t>hon²</w:t>
      </w:r>
      <w:r>
        <w:rPr>
          <w:b w:val="0"/>
        </w:rPr>
        <w:t xml:space="preserve"> behöfver för att kunna gagna vårt folk?</w:t>
        <w:br/>
        <w:br/>
        <w:t>Man har sagt, att det behöfs ingen skrifvelse från Riksdagens sida, därför att kyrkomötet redan har skrifvit i saken. Men man behöfver icke tänka mycket efter för att finna, huru det — sedan frågan nu är väckt här i Riksdagen, och då någon åtgärd icke från regeringens sida vidtagits på grund af kyrkomötets skrifvelse —, skulle uppfattas, om Riksdagen afsloge det framlagda förslaget om en skrifvelse. Ett sådant afslag skulle naturligtvis så uppfattas, att Riksdagen icke ville de reformer, hvarom kyrkan gjort begäran.</w:t>
        <w:br/>
        <w:br/>
        <w:t>Det är för öfrigt märkvärdigt, att just ifrån det håll, som i allmänhet vill frånkänna kyrkomötet betydelse, nu finna en sådan månhet om kyrkomötet. Det har gått så långt, att man till kyrkomötets fördel rent af vill beröfva Riksdagen dess rätt till initiativ. Märkvärdigt förefaller detta, och jag kan icke förstå, huru konsekvens skall kunna upprätthållas, när man handlar på dylikt sätt. Emellertid detta skäl — kyrkomötets föregående skrifvelse — var nog mera taget för ögonblicket och icke så allvarligt menadt. Det förnämsta skälet fingo vi höra från den siste ärade talaren. Han angaf, att Andra kammarens skäl, när den afslagit en begäran om kyrkolagens reformering, skulle ha varit det, att Andra kammaren vore öfvertygad om, att en sådan reform icke skulle ingjuta en demokratisk anda i vår kyrka, utan tvärtom skärpa den religiösa intoleransen. Och det vore enligt Andra kammarens mening mycket bättre, att kyrkan med dess antikverade, odugliga lagbestämmelser, som just därför icke ägde den aktning hos folket, som kräfdes, undan för undan förlorade i inflytande, rent af ruttnade ned, än att toleransen skulle utsättas för någon som helst fara. För den ärade talaren — eller för Andra kammaren, om han hade rätt i sitt påstående att vara dess talman — skulle hufvudändamålet med kyrkans författning och kyrkolagen vara att befordra toleransen men däremot icke det religiösa lifvet. För min del tror jag verkligen, att den ärade talaren, trots att han lefvat inom Andra kammaren, fullkomligt</w:t>
        <w:br/>
        <w:br/>
        <w:t>denna fråga. Det är otänkbart, att en kammare, så medveten "om sin styrka som Andra kammaren är, skulle vara rädd för en skrifvelse med begäran om utredning, därför att dennas resultat skulle kunna bli så ofördelaktigt, att kammarens syften icke vunnes. Kammaren har ju rätt att deltaga i afgörandet af det författningsförslag, som kan komma att framläggas för Riksdagen. För öfrigt är det väl icke tänkbart, att en kammare, som utgått från svenska folkets djupa leder, skulle ha blifvit så doktrinär, att den såsom målet för våra andliga intressen skulle nöja sig med detta negativa: toleransens bevarande, och icke sträfva efter något positivt, religiöst lif och sedlig uppfattning. Jag tror, att Andra kammaren verkligen kunde ha skäl att efter den ärade talarens anförande säga detsamma, som en framstående finansman en gång satte till öfverskrift öfver en artikel i en tidning: »Gud bevare oss för våra vänner». Jag vill på det varmaste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