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166</w:t>
      </w:r>
    </w:p>
    <w:p>
      <w:r>
        <w:rPr>
          <w:b/>
        </w:rPr>
        <w:t xml:space="preserve">Datum: </w:t>
      </w:r>
      <w:r>
        <w:t>1912-02-24</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Fredrik Holmquist (Liberala samlingspartiet, man)</w:t>
      </w:r>
    </w:p>
    <w:p>
      <w:r>
        <w:rPr>
          <w:b w:val="0"/>
        </w:rPr>
        <w:t>Jag känner mig särskildt uppkallad i denna fråga, då motionären i sitt försvarstal för motionen nämnde, att han var tämligen ensam om sin erfarenhet rörande betydelsen af stenografien. Då jag sedan min ungdom är i samma ställning som han, ber jag för min del att i alla afseenden få ansluta mig till hans uppfattning och hans tanke om stenografien och dess betydelse såsom läroämne och den ställning en stenograf i åtskilliga afseenden äger framför andra, som icke äga denna kunskap.</w:t>
        <w:br/>
        <w:br/>
        <w:t>Läser man igenom den afgifna motionen får man — åtminstone var det fallet med mig — den uppfattningen, att motionären kanske går för vidt. Jag tror, att man knappt kan ifrågasätta understöd från</w:t>
        <w:br/>
        <w:br/>
        <w:t>statens sida eller att i någon form staten skulle ingripa för att få detta ämne allmänt infördt vid högre och lägre skolor och läroanstalter; men då jag läser motionens kläm, förefaller det mig, som om motionären gjort betydande eftergifter. Det heter där endast, att motionären ifrågasätter en skrifvelse till Kungl. Maj:t om utredning, på hvad sätt och i hvilken utsträckning stenografi bör införas såsom läroämne vid landets undervisningsanstalter. Jag tror för min del, att de läroanstalter, där särskildt stenografi skall visa sig välgörande, äro i första hand universiteten. Det är ju alldeles gifvet, att i vår tid med dess många kongresser af alla möjliga slag det skall vara af betydligt värde att äga en sådan konst, att man kan på ett lätt och lämpligt sätt skriftligen affatta diskussioner, och det äger man i stenografien. Jag tror således, att det just nu är tid att påpeka detta förhållande för Kungl. Maj:t för vidtagande af lämpliga åtgärder.</w:t>
        <w:br/>
        <w:br/>
        <w:t>Man har sagt, att någon allmännare uppfattning om nödvändigheten af ett sådant steg icke skulle föreligga. Men stenografien är icke någonting nytt. Det har sagts mig, att för ungefär 50 år sedan gjordes en med den förevarande likartad framställning hos ridderskapet och adeln, och man har i tidningspressen sett, att ett af de yngre stenografisystemen i dagarna firat sitt 925-års jubileum. Jag tror därför, att det kan vara tid på att från Riksdagens sida något göres.</w:t>
        <w:br/>
        <w:br/>
        <w:t>Jag tillåter mig därför för min del hemställa om bifall till motionärens yrkande på återremiss. Jag kan icke se, att icke frågan skulle vinna på en allsidig utredning, möjligen genom tillkallande af sakkunniga personer. Jag ansluter mig således till yrkandet om återremiss.</w:t>
        <w:br/>
        <w:br/>
        <w:t>Vi GUSTAF, med Guds nåde, Sveriges, Götes och Vendes Konung, tillbjuda Eder, gode herrar och svenske män, ledamöter af Riksdagens Första kammare, Vår ynnest och nådiga benägenhet med Gud Allsmäktig!</w:t>
        <w:br/>
        <w:br/>
        <w:t xml:space="preserve">Med djup tacksamhet för Försynens nåd gifva Vi Eder härigenom till känna, att </w:t>
      </w:r>
      <w:r>
        <w:rPr>
          <w:b/>
        </w:rPr>
        <w:t>Hennes²</w:t>
      </w:r>
      <w:r>
        <w:rPr>
          <w:b w:val="0"/>
        </w:rPr>
        <w:t xml:space="preserve"> Kungl. Höghet </w:t>
      </w:r>
      <w:r>
        <w:rPr>
          <w:b/>
        </w:rPr>
        <w:t>Kronprinsessan³</w:t>
      </w:r>
      <w:r>
        <w:rPr>
          <w:b w:val="0"/>
        </w:rPr>
        <w:t xml:space="preserve"> denna dag klockan 5,30 f. m. lyckligen blifvit förlöst med en prins, som kommer att i det heliga dopet undfå namnen Bertil Gustaf Oscar Carl Eugéne och bära titel hertig af Halland.</w:t>
        <w:br/>
        <w:br/>
        <w:t>Förvissade, att I med Oss och Vårt Kungl. Hus delen glädjen öfver denna lyckliga tilldragelse, förblifva Vi Eder med all kungl. nåd och ynnest städse välbevågna. Stockholms slott den 28 februari 1912.</w:t>
      </w:r>
    </w:p>
    <w:p>
      <w:pPr>
        <w:pStyle w:val="Heading2"/>
      </w:pPr>
      <w:r>
        <w:t>2. unknown (–, –)</w:t>
      </w:r>
    </w:p>
    <w:p>
      <w:r>
        <w:rPr>
          <w:b w:val="0"/>
        </w:rPr>
        <w:t xml:space="preserve">Jag tillåter mig hemställa, att kammaren i anledning af det nådiga meddelandet behagade uppdraga åt kammarens talman att till Deras Majestäter Konungen och Drottningen, </w:t>
      </w:r>
      <w:r>
        <w:rPr>
          <w:b/>
        </w:rPr>
        <w:t>Hennes²</w:t>
      </w:r>
      <w:r>
        <w:rPr>
          <w:b w:val="0"/>
        </w:rPr>
        <w:t xml:space="preserve"> Majestät </w:t>
      </w:r>
      <w:r>
        <w:rPr>
          <w:b/>
        </w:rPr>
        <w:t>Änkedrottningen²</w:t>
      </w:r>
      <w:r>
        <w:rPr>
          <w:b w:val="0"/>
        </w:rPr>
        <w:t xml:space="preserve"> samt de höga föräldrarne framföra kammarens vördnadsfulla lyckönskningar med anledning af den för konungahuset och fäderneslandet så glädjande tilldragelsen.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