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1223</w:t>
      </w:r>
    </w:p>
    <w:p>
      <w:r>
        <w:rPr>
          <w:b/>
        </w:rPr>
        <w:t xml:space="preserve">Datum: </w:t>
      </w:r>
      <w:r>
        <w:t>1912-05-15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Raoul Hamilton (Frisinnade folkpartiet, man)</w:t>
      </w:r>
    </w:p>
    <w:p>
      <w:r>
        <w:rPr>
          <w:b w:val="0"/>
        </w:rPr>
        <w:t>Herr talman, mina herrar! I förhoppning att därigenom kunna begränsa debatten bar jag ansett mig böra redan vid föredragningen af den första paragrafen få betona, att utskottets här föreliggande förslag är en kompromiss eller frukten af förhandlingar mellan män af vidt skilda sociala åskådningar och representanter för skilda ekonomiska intressen. I allmänhet har jag icke för vana att vilja strö blommor inför någons fötter och ej heller inför Första kammarens höger, men jag måste erkänna, att ifrån den sidan har under frågans behandling i utskottet visats ej ringa tillmötesgående. Sålunda hafva åtminstone större delen af de önskningar, som blifvit från arbetarebäll framställda och som fått sitt uttryck i den af herrar Söderberg och Eriksson väckta motionen, vunnit anslutning inom utskottet. andra sidan ha också inom utskottet beaktats de kraf, som från arbetsgifvarehåll blifvit dels under debatten dels i en af herr Vennersten afgifven motion framställda.</w:t>
        <w:br/>
        <w:br/>
        <w:t>Afven om förslaget sådant det föreligger icke tillfredsställer alla de kraf, som i våra dagar ställas på en fullt modern arbetarskyddslagstiftning, så måste man likväl erkänna, att förslaget är fullt antagligt och att det i hvarje fall innebär en afsevärd förbättring af nu gällande arbetarskyddslagstiftning. Sålunda har området för denna lagstiftniogs tillämpning betydligt utvidgats och kommit att omfatta all rörelse, industriell eller icke, och arbetsföretag, som sysselsätta främmande arbetskraft, med undantag för sjöfarten, som naturligtvis mäste licga under en annan lagstiftning; och hvad jordbruket beträffar, skall denna lag äga tillämpning allenast i hvad den åsyftar att förhindra olycksfall vid användande af maskinella hjälpmedel. Bestämmelserna till förekommande af olycksfall och ohälsa bland arbetarna hafva förts in äfven på andra arbetsområden än där de för närvarande finnas samt ha vissa fall blifvit skärpta.</w:t>
        <w:br/>
        <w:br/>
        <w:t xml:space="preserve">Hvad beträffar föreskrifterna rörande minderårigas användande i arbete har man vunnit den fördelen, att minimiåldern för minderårigas användande i arbete inom storindustrien har höjts från 12 till 13 år för de manliga och till 14 år för de </w:t>
      </w:r>
      <w:r>
        <w:rPr>
          <w:b/>
        </w:rPr>
        <w:t>kvinnliga¹</w:t>
      </w:r>
      <w:r>
        <w:rPr>
          <w:b w:val="0"/>
        </w:rPr>
        <w:t>, minimiåldern</w:t>
        <w:br/>
        <w:br/>
        <w:t>för minderårigas användande i arbete under jord i grutvor och sten- Ang. lag om brott har höjts från 14 till 15 år, och för användande i nattarbete arbetar har åldern höjts från 14 till 16 år. Därjämte innehåller lagen en dt bestämmelse om att maximiarbetstiden för minderårig mellan 13 och ÖF 14 år skall begränsas till 8 timmar, att nattarbete för minderårig skall begränsas till samma tid samt att nattarbete i hvarje fall endast får ske hvar tredje vecka. Man har också velat skydda de minderåriga, som användas vid lättare arbete, till budskickning och såsom springpojkar, genom att tillförsäkra dem en oafbruten hvilotid af 11 timmar.</w:t>
        <w:br/>
        <w:br/>
        <w:t xml:space="preserve">En lucka finnes likväl i lagen, nämligen den, som handlar om skyddet för barnsängskvinnor. Visserligen har den tid, som de hafva rätt till fribet, utvidgats till 2 veckor före barnsängen och till 6 veckor efter densamma, men man har icke kunnat föreskrifva någon ovillkorlig fribetstid, ty det skulle naturligtvis medföra, att de borde hafva ersättning under den tid de äro förhindrade att arbeta, och förrän lagen om moderskapsförsäkring kan blifva antagen, måste </w:t>
      </w:r>
      <w:r>
        <w:rPr>
          <w:b/>
        </w:rPr>
        <w:t>kvinna¹</w:t>
      </w:r>
      <w:r>
        <w:rPr>
          <w:b w:val="0"/>
        </w:rPr>
        <w:t xml:space="preserve"> med läkares tillåtelse medgifvas rätt att tidigare börja arbeta. Denna lucka kan emellertid blifva fylld när en sådan lag blir antagen.</w:t>
        <w:br/>
        <w:br/>
        <w:t>Arbetarna hafva också fått sig tillförsäkrad rätt att, när en inspektör inställer sig vid ett arbetsställe för att inspektera, genom ombud kunna få sina önskningar till honom framställda, och älägges han taga dem under pröfning.</w:t>
        <w:br/>
        <w:br/>
        <w:t>Slutligen medger lagen rätt för Kungl. Maj:t att i vissa fall få skärpa bestämmelserna i lagen och äfven att i vissa fast mycket begränsade fall få mildra dem.</w:t>
        <w:br/>
        <w:br/>
        <w:t>Jag behböfver väl antagligen icke vidare utveckla lagens innebörd. Första kammaren har, såsom herrarna veta, antagit utskottets förslag oförändradt, och jag är öfvertygad om, att Andra kammaren icke skall draga i betänkande att antaga en lag, som har till ändamål att skydda arbetarna från olycksfall och ohälsa och de minderåriga för öfveransträngning.</w:t>
        <w:br/>
        <w:br/>
        <w:t>Jag tillåter mig, herr talman, att yrka bifall till &amp; 1.</w:t>
      </w:r>
    </w:p>
    <w:p>
      <w:pPr>
        <w:pStyle w:val="Heading2"/>
      </w:pPr>
      <w:r>
        <w:t>2. Karl Hildebrand (Lantmanna- och borgarepartiet inom andrakammaren, man)</w:t>
      </w:r>
    </w:p>
    <w:p>
      <w:r>
        <w:rPr>
          <w:b w:val="0"/>
        </w:rPr>
        <w:t>Herr vice talman, mina herrar! Jag har icke begärt ordet för att försöka förbindra den kompromiss, för hvilken herr Hamilton talat så vackert. Första kammaren har redan godtagit detta förslag, och det är ju alldeles klart, att Andra kammaren kommer att göra detsamma, men det finnes några saker, delvis af principiell natur, som här fastställts — eller kanske snarare sagdt icke fastställts — och detta har föranledt mig att begära ordet för att i allra största korthet något belysa dessa saker.</w:t>
        <w:br/>
        <w:br/>
        <w:t>Först ber jag då att få anknyta mig till ett anförande, som statsrådet och chefen för kungl. finansdepartementet hade i Första kammaren, och hvilket jag var i tillfälle att åhöra. Han framhöll där, att det naturligtvis måste vara till industriens nytta, att den arbetarestam, ur hvilken arbetarne tagas, är så sund och god som möjligt, och att sålunda en arbetarskyddslagstiftning är både till landets och till industriens bästa. Därom synes mig icke kunna finnas något</w:t>
        <w:br/>
        <w:br/>
      </w:r>
      <w:r>
        <w:rPr>
          <w:b/>
        </w:rPr>
        <w:t>kvinnors¹</w:t>
      </w:r>
      <w:r>
        <w:rPr>
          <w:b w:val="0"/>
        </w:rPr>
        <w:t xml:space="preserve"> och barns arbete begränsas samt att skyddsåtgärder verkligen finnas äfven för männens arbete. Men om skyddsåtgärder vidtagas på ett opraktiskt sätt eller bli för ingripande, kan det inträffa, att de bli till skada icke endast för industrien, utan äfven för landet och arbetarna själfva. Man kan tänka sig, att det blir en sådan kontroll öfver maskiners användande och sädana arbetsanordningar, att vissa industrier behöfva nedlägga sitt arbete, och härpå skulle naturligtvis ej blott dessa industrier utan äfven landet och arbetarna lida. Man är här inne på ett mycket ömtåligt område, ty denna lagstiftning måste oafbrutet anpassas efter nya förbållanden. Det gäller här att gå försiktigt fram, så att man tillvaratager arbetarnas bästa på samma gång, som man söker undvika att i onödan skada den industri eller det näringslif, som landet behöfver.</w:t>
        <w:br/>
        <w:br/>
        <w:t>Nu har herr Hamilton, utskottets ärade ordförande, uttalat, att det nu föreliggande förslaget är mycket acceptabelt. Detta innebär naturligtvis, att de olika synpunkterna här på ett tillbörligt sätt beaktats. Jag skulle då såsom min mening vilja framhålla, att jag icke tror, att någon person inom Riksdagens båda kamrar kan uttala, att detta förslag är acceptabelt, om man nämligen däri inlägger ett mycket kategoriskt omdöme, detta helt enkelt därför, att jag icke tror det finnes någon enda ledamot uf Riksdagen, som fullt kan öfverblicka hela innebörden och alla konsekvenserna af denna arbetareskyddslagstiftning.</w:t>
        <w:br/>
        <w:br/>
        <w:t xml:space="preserve">Ser man på den allmänna läggningen, så skiljer den sig från föregående lagstiftning däruti, att man hittills uppräknat de näringsområden, som skulle ligga under lagen, under det att man gör denna lag allmängiltig, endast med ett fåtal undantag. Det är icke endast industri och handtverk och den del af jordbruket, där maskinella anordningar användas, som komma under lagen, utan äfven hvarje kontor, hvarje handelsbutik. Tänker man sig in i det verkliga innehället af de båda första paragraferna, kommer man därhän, att om 1. ex. en läkare i sin privata praktik har en </w:t>
      </w:r>
      <w:r>
        <w:rPr>
          <w:b/>
        </w:rPr>
        <w:t>sjuksköterska³</w:t>
      </w:r>
      <w:r>
        <w:rPr>
          <w:b w:val="0"/>
        </w:rPr>
        <w:t xml:space="preserve"> till sin hjälp, så kommer arbetsförhällandet mellan läkaren-arbetsgifvaren och </w:t>
      </w:r>
      <w:r>
        <w:rPr>
          <w:b/>
        </w:rPr>
        <w:t>sjuksköterskan³</w:t>
      </w:r>
      <w:r>
        <w:rPr>
          <w:b w:val="0"/>
        </w:rPr>
        <w:t xml:space="preserve">-arbetaren in under denna lag, och en hel del rätt besynnerliga trakasserier kunna bli följden däraf. Den kontrollerande myndigheten kan skicka upp ett ombud till läkaren för att se efter, att </w:t>
      </w:r>
      <w:r>
        <w:rPr>
          <w:b/>
        </w:rPr>
        <w:t>sköterskan³</w:t>
      </w:r>
      <w:r>
        <w:rPr>
          <w:b w:val="0"/>
        </w:rPr>
        <w:t xml:space="preserve"> användes i enlighet med lagens föreskrifter. Här kan äfven bli en kontroll öfver ett kontor, som ingen oegentlighet tänkt sig, och som torde vara alldeles onödig Hvad jag således först velat framhålla är, att jag icke tror, att någon har fullt klart för sig, hur vidsträckt lagen blir, utan man kommer här ut i tomma luften.</w:t>
        <w:br/>
        <w:br/>
        <w:t>Vidare skulle jag vilja påpeka en brist på precisering. Denna brist är rätt naturlig, ty det är så stora skiljaktigheter mellan olika näringsgrenar, att det icke är så lätt att i lagen intaga bestämmelser, som passa för alla förhållanden. Men om herrarna se på de första paragraferna här, så fiona herrarna t. ex. i 8 3 ett sådant utryck som: »Årbetsgilvare är pliktig iakttaga allt, som i afseende å arbetslokaler&gt; etc. »skäligen kan anses af nöden». Hvad menas med</w:t>
        <w:br/>
        <w:br/>
        <w:t>skäligen? I $ 4 mom. c) heter det, att &gt;»Kar, bassänger» etc. »&gt;skola, Ang. lag om därest så lämpligen kan ske, vara behörigen kringgärdade». Hvad arbetar. menas med lämpligen? 1 $ 5 mom. b) finnes återigen uttrycket &gt;skä- Rote ligen&gt;, i mom. e) finna vi uttrycket »tillbörligen&gt;, i mom. i) heter oms det: »arbetet bör, där dess natur det medgifver&gt; ete. Hvad menas</w:t>
        <w:br/>
        <w:br/>
        <w:t>med att arbetets natur det megifver? Af dessa och dylika uttryck</w:t>
        <w:br/>
        <w:br/>
        <w:t>kan man få fram rätt mycket: I 8 17 till exempel står: det &gt;synner-</w:t>
        <w:br/>
        <w:br/>
        <w:t>lig fara&gt;. Hvad menas med »synnerlig&gt; i detta uttryck? Så kan</w:t>
        <w:br/>
        <w:br/>
        <w:t>man gå från paragraf till paragraf och finna, att hela denna skyddslag är</w:t>
        <w:br/>
        <w:br/>
        <w:t>så allmänt formulerad, att man icke blott icke kan öfverblicka lagens verksamhetsområde, utan icke ens kan verkligen tänka sig ini, hvad</w:t>
        <w:br/>
        <w:br/>
        <w:t>Jagen afser att bestämma. I den konselj, där finansministern an-</w:t>
        <w:br/>
        <w:br/>
        <w:t>mälde lagrådets pröfning af det första förslaget, uttalar herr stats-</w:t>
        <w:br/>
        <w:br/>
        <w:t>rådet och chefen för finansdepartementet också, att med den före-</w:t>
        <w:br/>
        <w:br/>
        <w:t>slagna lagen ej åsyftades att framlägga en fullständig skyddslagstift-</w:t>
        <w:br/>
        <w:br/>
        <w:t>ning, utan att den i väsentlig mån vore att anse såsom en grundval,</w:t>
        <w:br/>
        <w:br/>
        <w:t>på hvilken den kompletterande speciella lagstiftningen skulle bygga</w:t>
        <w:br/>
        <w:br/>
        <w:t>vidare. Sålunda uttalar här den föredragande ledamoten af regeringen, att det icke ens är meningen, att man här skulle ha en fullständigt utförd skyddslagstiftning, och jag skulle vilja erkänna, att</w:t>
        <w:br/>
        <w:br/>
        <w:t>det ligger nog i sakens natur, att det icke kan vara annorlunda.</w:t>
        <w:br/>
        <w:br/>
        <w:t>Han tillägger emellertid att »fullt konsekvent har nu angifna tanke-</w:t>
        <w:br/>
        <w:br/>
        <w:t>sång dock icke tillämpats på lagförslaget, särskildt af det skäl, att</w:t>
        <w:br/>
        <w:br/>
        <w:t>man tvekat att till administrativ reglering öfverlämna, hvad som re-</w:t>
        <w:br/>
        <w:br/>
        <w:t>dan gällde som lag». Sålunda är hela förslaget byggdt därpå, att</w:t>
        <w:br/>
        <w:br/>
        <w:t>en allmän ram skall fastställas af båda statsmakterna, och att sedan</w:t>
        <w:br/>
        <w:br/>
        <w:t>inom denna ram det skall öfverlåtas åt Kungl. Maj:t att med användande af Kungl. Maj:ts administrativa lagstiftningsrätt utfylla inom</w:t>
        <w:br/>
        <w:br/>
        <w:t>lagens stora vida ram med kompletterande speciella bestämmelser.</w:t>
        <w:br/>
        <w:br/>
        <w:t>Nu är det tämligen klart, att Riksdagen icke i dag kan fullt öfver-</w:t>
        <w:br/>
        <w:br/>
        <w:t>blicka, huru vid den fullmakt är, som Kungl. Maj:t härmed erhåller.</w:t>
        <w:br/>
        <w:br/>
        <w:t>Ur ren konstitutionell synpunkt skulle en del invändningar kunna</w:t>
        <w:br/>
        <w:br/>
        <w:t>göras häremot, men det är naturligtvis icke nu platsen att framställa</w:t>
        <w:br/>
        <w:br/>
        <w:t>dem. Det hela är ju tillrättalagdt så, att Riksdagen kommer att godkänna det och gifva Kungl. Maj:t denna vida fullmakt. Hufvud-</w:t>
        <w:br/>
        <w:br/>
        <w:t>frågan är endast, hur denna fullmakt kommer användas, och hvilken innebörd Riksdagen gifver fullmakten.</w:t>
        <w:br/>
        <w:br/>
        <w:t>Den generella fullmakten finnes i $ 7 i arbetarskyddslagen. 1 $ 7 står: »Finnes för tillämpningen af 3 $ i afseende å visst slag af sysselsättning eller användande at visst slag af maskin, redskap eller arbetslokal behof af närmare föreskrifter, ankommer på Konungen att utfärda sådana föreskrifter.»</w:t>
        <w:br/>
        <w:br/>
        <w:t>Kungl. Maj:t har sålunda rätt att utfärda närmare föreskrifter. Hvad menas då med närmare föreskrifter? Ordet »närmare» är naturligtvis i och för sig ett mycket elastiskt ord. Man får gå tillbaka till paragrafens historia så att säga för att komma underfund med hvad detta kan innebära. — Vidare får Kungl. Maj:t i &amp; 16 en viss rätt att göra undantag, och det är äfven en del af den fullmakt, som Riksdagen här skulle lämna Kungl. Maj:t. — Det första förslaget</w:t>
        <w:br/>
        <w:br/>
        <w:t>om, att Kungl. Maj:t fär rätt att utfärda »ytterligare föreskrifter». När förslaget kom till lagrådet, kom detta med en mycket, mycket hårdbändt och grym kritik öfver denna paragraf. Man finner af lagrådets uttalande här att tre af lagrådets fyra medlemmar nämligen justitieråden Sundberg och Skarstedt samt regeringsrådet Ernberg ansågo, att hela denna paragraf borde utgå utan att ersättas af någon annan bestämmelse. Det påpekades att innebörden af paragrafen är så gränslös vidsträckt genom detta uttryck »ytterligare föreskrifter», att Kungl. Maj:t skulle kunna utfärda en föreskrift för vissa industrier om införande af normalarbetsdag, utan att Riksdagens medgifvande skulle behöfva inhämtas. Dessa herrar inom lagrådet påpekade äfven, att det här gäller att utfärda föreskrifter, hvilkas öfverskridande skulle föranleda tillämpning af en del straffoch bötesbestämmelser, så att det hela icke vore så oskyldigt. Med anledning af den kritik lagrådets majoritet nu kommit med, ha finansministern och Kungl. Maj:t omformulerat paragrafen närmast i öfverensstämmelse med den anmärkning, som den, fjärde ledamoten af lagrådet, justitierådet Borgström framkom med. Afven han ansåg $ 7 illa formulerad, men trodde, att det skulle kunna hjälpas med en omformulering. Finansministern har då lätit omformulera paragrafen, så att i stället för orden &gt;»ytterligare föreskrifter» och med hänvisning till ett par föregående paragrafer det nu skulle stå endast »närmare föreskrifter». Ordet &gt;ytterligare» har alltså ersatts med ordet snärmare&gt;. Nu är det tämligen klart, att därmed har en inskränkning gjorts, men icke synes uttrycket »närmare föreskrifter» så synnerligen klart, tvärtom. Nu finnes det emellertid i statsrådsprotokollet från det tillfälle, när finansministern föredrog lagrådets utlåtande, ett uttryck, som är af rätt stort intresse. Där står nämligen, att »ytterligare föreskrifter» utbytts mot uttrycket »närmare föreskrifter» i ändamål att tydliggöra, att här endast är fråga om preciserande detaljföreskrifter. Det synes mig, att det hade varit lyckligare, om uttrycket »preciserande detaljföreskrifter&gt; kommit in i lagen i stället för »närmare föreskrifter». Då hade större klarhet rådt om, hvad som menas med det där elastiska uttrycket i $ 7. Så har icke skett, men man har en möjlighet att klargöra innebörden genom hvad som skrifvits här i statsrädsprotokollet. Om herr finansministern varit här nu, hade jag vändt mig till honom med en vördsam hemställan, att han måtte ytterligare till protokollet afgifva en förklaring, hvad som skulle menas med uttrycket närmare föreskrifter. Regeringsmedlemmarne ha ju emellertid hastigt blifvit bortkallade till konselj, och jag får därför vända mig till utskottets högt värderade ordförande med samma hemställan i förhoppning, att han måtte ytterligare stryka under att, när utskottet godkänt ordalagen »närmare föreskrifter», det då afsett vissa preciserande detaljföreskrifter och icke något annat.</w:t>
        <w:br/>
        <w:br/>
        <w:t>Jag vill taga ett exempel för att belysa, hvad detta kan innebära. Antag, att inom en industri en ny typ af maskiner har anskaffats. Under första tiden, då arbetarna äro ovana vid maskinerna och kanske icke nödiga skyddsföreskrifter utfärdats, blir det måhända</w:t>
        <w:br/>
        <w:br/>
        <w:t>Onsdagen den 15 maj. 33 Nr 46. några olycksfall. Det blir naturligtvis klagomål och begäran, att Ang. lag om Kungl. Maj:t skall utfärda närmare föreskrifter. Då kan det naturarbetar ligtvis vara i sin ordning, att Kungl. Maj:t utfärdar en del föreskrif- " ter om behböfliga skyddsanordningar, för att maskinerna skola kunna (Forts) skötas utan den fara för arbetarnas lit och hälsa, som visat sig törefinnas. Men det skulle också kunna tänkas, att Kungl. Maj:t helt eukelt utfärdade ett förbud mot dessa maskiners användande. Ar det vu dyra maskiner, inköpta för att modernisera den svenska industrien, skulle detta naturligtvis kunna drabba industrien mycket hårdt och göra den mindre konkurrenskraftig gentemot utlandet. Således: är det meningen, att Kungl. Maj:t endast skall utfärda preciserande detaljföreskrifter i detta fall om praktiska skyddsanordningar, då synes mig ingenting vara att anmärka, utan allt vara väl deställdt. Men om Kungl. Maj:t skulle tolka uttrycket »närmare föreskrifter» så, att det kunde bli fullständigt förbud mot sådana maskiner, synes man mig komma in på en väg, där industriens berättigade intressen trädas allt för nära, till landets skada.</w:t>
        <w:br/>
        <w:br/>
        <w:t>Jag bar velat rikta uppmärksamheten på denna paragraf, därför att tolkningen af densamma har en så ofantlig betydelse för hela den tillämpning, som själfva lagen kan komma att få. Om lagen kommer att kompletteras med endast preciserande detaljföreskrifter, då vet man någorlunda, hvad som nu beslutas, men om Kungl. Maj:t kommer att gå därutöfver, då ha vi icke en aning om, hvad Riksdagen nu går med på, icke en aning om hur den fullmakt, som Riksdagen gifver Kungl. Maj:t i lagstiftningsväg, kommer att verka. Det är, synes mig, sålunda på det sättet att tolkningen af denna paragraf är en synnerligen vital punkt, då man vill bedöma hela lagförslaget.</w:t>
        <w:br/>
        <w:br/>
        <w:t>Jag har emellertid intet yrkande att göra, hvarken nu, eller när vi komma till $ 7, utan jag vill nu slutligen rikta en hemställan till utskottets ordförande att göra ett uttalande om $ 7.</w:t>
      </w:r>
    </w:p>
    <w:p>
      <w:pPr>
        <w:pStyle w:val="Heading2"/>
      </w:pPr>
      <w:r>
        <w:t>3. Erik Räf (Lantmanna- och borgarepartiet inom andrakammaren, man)</w:t>
      </w:r>
    </w:p>
    <w:p>
      <w:r>
        <w:rPr>
          <w:b w:val="0"/>
        </w:rPr>
        <w:t>Herr vice talman, mina herrar! Det är ju onekligen så, att det är mycket i denna lag, som är väl värdt allt erkännande, och synnerligen bra torde det bli att få denna yrkesfarelag och minderårighbetslag sammanförda i en enda lag, så att man vet, hvartill man skall hålla sig i fråga om tillämpningen. Emellertid anser jag dock, att det hade varit mycket, mycket lyckligt, om icke jordbruket hade blifvit indraget under denna lag. Då jag talar om jordbruket, menar jag icke egentligen det större jordbruket utan syftar på det mindre jordbruket och menar att det hade icke bort bli indraget. Jag anser det vara min plikt, eftersom jag varit i utskottet, att här göra ungefär de erinringar, som jag där kunnat göra utan att i alla fall afgifva någon reservation, liksom jag icke heller kommer att göra något yrkande här.</w:t>
        <w:br/>
        <w:br/>
        <w:t>Jag vill då, innan jag öfvergår till själfva lagen, sådan den föreligger här, gifva en liten erinran just angående, så att säga, allt det kommittéarbete, som föregått denna lag. Jag anser på grund at detta kommittéarbete det vara nödvändigt, att Riksdagen har sin stora uppmärksamhet fästad vid kommittéerna och deras uppdrags</w:t>
        <w:br/>
        <w:br/>
        <w:t>arbetarskydd. (Forts.)</w:t>
        <w:br/>
        <w:br/>
        <w:t xml:space="preserve">Maj:t. Jag tror, att det är så mycket mera af behofvet påkalladt, som vi för närvarande ha rätt så många kommittéer tillsatta, att man ser till, att deras arbete öfverensstämmer med åtminstone de direktiv, som dessa kommittéer fått. Nu är att märka, att denna lags förhistoria, så att säga, hänför sig till bland annat en riksdagsskrifvelse af den 20 maj 1902, men denna riksdagsskrifvelse berör ingenting annat än frågan om en </w:t>
      </w:r>
      <w:r>
        <w:rPr>
          <w:b/>
        </w:rPr>
        <w:t>kvinnlig¹</w:t>
      </w:r>
      <w:r>
        <w:rPr>
          <w:b w:val="0"/>
        </w:rPr>
        <w:t xml:space="preserve"> yrkesinspektion. Hvad däremot lagen i dess helhet och allmänt taget har att bänföra sig till, är en af herr David Bergström och en at herr Roos väckt motion år 1903. Den motion, som herr David Bergström då väckte, hade varit väl värd att bli tagen i allvarligt studium, innan vi ha kommit så långt, som vi nu ha kommit. Det är nämligen så, att herr Bergström i denna sin motion, som är ganska vidlyftig den innehåller en 20 å 30 sidor — specificeradt utför allt, hvad han vill ha fram med den revision, som han önskat. Om herrarna läsa aldrig så väl igenom denna motion, skola ni icke upptäcka på ett enda ställe, att herr David Bergström begär, att jordbruket skall komma in under den yrkesfarelagstiftning, här är ifråga. Ja, jag vågar bestämdt påstå, att icke ett enda ord om jordbruket finns i hela denna motion, och jag har läst igenom den något så när utförligt, icke blott en, utan ett par gånger.</w:t>
        <w:br/>
        <w:br/>
        <w:t>Hvad herr Roovs' motion beträffar, sysselsätter den sig endast med frågan om, hur de två lagarna skola tolkas sinsemellan, och man kan icke heller i hans motion finna ett enda ord, som antyder, att han under denna lagstiftning vill ha in jordbruket. Dessa båda motioner remitterades till lagutskottet. Läser man då igenom lagutskottets utlätande, skall man finna, att lagutskottet håller sig troget till motionerna och i anledning af dem afger sitt utlätande, och lagutskottet begär icke där något annat än granskning af yrkesfarelagen af den 10 maj 1889, och af minderårighetslagen af den 17 oktober 1900, hvarjämte lagutskottet vill, att gränsen mellan fabriksdrift och handtverksnäring skall så grundligt som möjligt bestämmas i revisionen. I lagutskottets utlåtande finnes ingenting, som tyder på, att lagutskottet önskar, att jordbruket skulle komma in under detta lagförslag. Nu är det vidare att märka, att hvarken 1889 års lag eller 1900 års lag innebålla ett ord angående jordbruket, det vill säga jordbruket ligger helt och hållet utom deras räckvidd.</w:t>
        <w:br/>
        <w:br/>
        <w:t>Dessa omständigheter kunna vara väl värda uppmärksamhet och icke minst kanske med hänsyn till den eventuella tolkning, som lagen till äfventyrs skall få i en framtid. Lagförslaget baserar sig icke på frågan om jordbruket, utan det baserar sig på de gamla lagarna. Det sysselsätter sig endast med handtverket och den stora industrien.</w:t>
        <w:br/>
        <w:br/>
        <w:t>Nå, lagutskottets därefter afgifna utlåtande antogs af Riksdagens båda kamrar, och under den debatt, som då fördes, blef icke heller ett enda ord fälldt, som syftade det ringaste på, att jordbruket skulle indragas under revisionen i fråga. I Första kammaren yttrade sig berr Almström, som var den enda talaren där, och i denna kammare var det undertecknad och herr Thorsson, som hade ett litet mellanbafvande med hvarandra. Men icke heller i våra yttranden förekommer någonting, som syftar på, att jordbruket skulle indragas under</w:t>
        <w:br/>
        <w:br/>
        <w:t>denna revision. I den riksdagsskrifvelse, som afläts, upptogs nästan dng. lag om ordagrant Jagutskottets utlåtande. I motiveringen till denna riksarbetar dagsskrifvelse finns icke heller någonting, som antyder, att jordbruket rr - skulle indragas under ifrågavarande lagstiftning. Forts;</w:t>
        <w:br/>
        <w:br/>
        <w:t xml:space="preserve">Lägga herrarna vidare märke till den af Kungl. Maj:t tillsatta kommitténs sammansättning, få ni bestämdt det intrycket, att det var afsikten, att denna kommitté skulle sysselsätta sig med och yttra sig öfver de gränser, som dessa två lagar förut ej tillräckligt bestämt, jämte bestämmelser om </w:t>
      </w:r>
      <w:r>
        <w:rPr>
          <w:b/>
        </w:rPr>
        <w:t>kvinnlig¹</w:t>
      </w:r>
      <w:r>
        <w:rPr>
          <w:b w:val="0"/>
        </w:rPr>
        <w:t xml:space="preserve"> yrkesinspektion och därtill hörande lagar.</w:t>
        <w:br/>
        <w:br/>
        <w:t>Läser man vidare igenom det kuvgliga direktivet till kommittén i fråga, bvilket ligger här framför mig, kan man icke heller däraf utläsa, att kommittén skulle sysselsätta sig med jordbruket, utan endast med de lagar jag antydt. Det är skada, att tiden är så långt framskriden, annars hade det varit mycket intressant att läsa upp såväl klämmen i lagutskottets hemställan som riksdagsskritvelsen, liksom äfven det kungliga direktivet till kommittén.</w:t>
        <w:br/>
        <w:br/>
        <w:t>Nu är att märka, att denna kommitté synes — åtminstone framgår det till stor del af det arbete, som den utfört -— också ha uppfattat saken på det sätt, som jag antydt. Det kan man förstå utaf, bur kommittén inhämtat yttranden från olika personer och sällskap. Den har t. ex. icke inhämtat något yttrande från hushållningssällskapens förvaltningsutskott, utan det är endast Konungens befallningshafvande, magistrater och kronofogdar och industrioch handtverksrepresentanter, som aflämnat sina yttranden till kommittén i fråga. Jag ber därvidlag få hänvisa till det betänkande, kommittén aflämnat till regeringen, och jag tror, att berrarna skola besanna riktigheten af mina ord.</w:t>
        <w:br/>
        <w:br/>
        <w:t>Vidare har kommittén i fråga hatt åtskilliga sammanträden med arbetsgifvare och arbetare inom industrien och handtverket, men uti kommitténs betänkande står icke niimndt ett enda fall, då den haft några sammanträden med arbetsgifvare eller arbetare från jordbruket. Afven detta är ganska karakteristiskt i afseende på kommitténs arbete.</w:t>
        <w:br/>
        <w:br/>
        <w:t>Nu synes det sålunda, att kommittén hade bort stanna vid de uppgifter, som den, efter hvad jag relaterat, hade fått sig ar Konungen anbefallda. Men i stället måste man nästan komma till den slutsatsen, alt döma efter lagförslaget, att kommittén i fråga rent af upptagit frågan om jordbruket som ett hufvudmoment. Dä jag säger, att det är ett hufvudmoment, syftar jag därmed på att antalet fabriker endast är 11,261 och antalet handtverk 61,362, under det att jordbruksandelarna äro 356,958. Man kan väl åtminstone erkänna, att kvantitativt taget, det vill säga efter miingden, har man här jordbruket som en hufvudpunkt, snart sagdt, i det föreliggande förslaget. Därmed har jag ingaiunda pästätt, att kommittén i afseende å jordbruket gått så specifikt till väga i alla hänseenden, som i afseende ä öfriga saker. Men kvantitativt, som sagdt, efter antalet, är det väsentligen jordbruket, som härvidlag kommer att drabbas af dessa bestämmelser. Det hela ger det intrycket, som jag sade från början, att man väl må lägga märke till de kungl. kommittéerna, så att när</w:t>
        <w:br/>
        <w:br/>
        <w:t>med det uppdrag, som Riksdagen gifvit Kungl. Maj:t och som Kungl. Maj:t i sin tur lämnat kommittén, ty om man någonsin hållit på Riksdagens rätt i det fallet, tror jag, att det är under vår tid.</w:t>
        <w:br/>
        <w:br/>
        <w:t>Detta kommittéförslag remitterades sedan och gick då ut till hushållningssällskapen och järnkontoret och Konungens befallningshafvande, och hur det blef mottaget där, framgår af finansministerns yttrande, då han säger, att talrika anmärkningar, som framställts mot jordbrukets inbegripande under lagen om arbetarskydd, ha låtit sig höras. Det var det omdöme förslaget fick, då det verkligen kom ut till jordbrukets representanter.</w:t>
        <w:br/>
        <w:br/>
        <w:t>Eftersom det nu är ett faktum, att det gått på det sättet, som det har gått, anser jag dock, att den förhistoria, som ligger bakom denna händelse, må få lof att inverka på den tolkning af de föreskrifter, som härefter kunna bli en följd af ett antagande af detta lagförslag.</w:t>
        <w:br/>
        <w:br/>
        <w:t>Beträffande frågan om hvad som nu verkligen i afseende på jordbruket ligger inom lagens tillämplighetsområde, torde det vara bäst, att hvar och en i sin stad tar fram förevarande Jagtext och gör en undersökning af, hvad som däri förekommer. Då vill jag säga, att hvad jag i detta afseende finner vara styrande så att säga för hela lagförslaget i afseende å jordbruket, är hvad som förekommer i sista stycket af 8 1, som är väl värdt att läsas: »Beträffande arbete inom jordbruket skall denna lag äga tillämpning allenast&gt; — för att icke utsträcka det för långt — »i hvad den åsyftar att förekomma olycksfall» — sålunda icke i afseende å ohälsa etc., utan endast vid olycksfall — &gt;vid användande af maskinella hjälpmedel» — här är det sålunda begränsadt till detta ord — »eller sådana ängpannor, kokare eller andra kärl under tryck, som genom explosion kunna förorsaka olycksfall». Denna bestämmelse bör man behålla väl i minnet, då man i öfrigt genomgår hela lagförslaget. Behåller man nämligen uttrycket från dennva mening och tillämpar dem sedan, märker man, att jordbruket drabbas af bestämmelserna i 3 $, där det står, »att arbetsgifvare är pliktig iakttaga allt, som i afseende å arbetslokaler, maskiner och redskap eller eljest med hänsyn till arbetets natur skäligen kan anses af nöden för att skydda hos honom sysselsatta arbetare mot olycksfall och ohälsa i arbetet&gt;. Läser man nu detta i sammanhang med förut citerade stycke, finner man att lagparagrafen mäste tillämpas på jordbruket.</w:t>
        <w:br/>
        <w:br/>
        <w:t>Fjärde paragrafen börjar med orden »till förekommande af olycksfall i arbetet», Då har man att tänka efter, hvilka ar dessa olycksfall äro att hänföra till skada af maskiner, redskap etc. Om en person till exempel är ute och kör och kommer under ett hölass eller ett träd faller öfver honom, torde detta sålunda icke falla under lagparagrafen. Men däremot gäller det i fråga om maskinella anordningar, så att denna 4 8 träffar jordbruket med stöd af $ 1 på grund at bvad i momenten a) och äfven i b) står taladt om att vissa maskinella &amp;anordningar, till exempel hissar, kranar, hängbanor och andra transportanordningar, hvilka skola underkastas besiktning.</w:t>
        <w:br/>
        <w:br/>
        <w:t>Vidare ha vi sådana bestämmelser i punkten f), där det talas</w:t>
        <w:br/>
        <w:br/>
        <w:t>sioner, som medföra fara för arbetarna. Jag kan ju icke uppräkna, till hvilken punkt uttrycken hänföra sig, det skulle ta alltför lång tid, men om herrarna ha texten framför sig, är det lätt att se efter. — Det står vidare i en punkt taladt om arbetsmaskin, som medför fara för arbetarna. Afven bestämmelsen i sista stycket af denna punkt träffar jordbruket, då det nämligen talas om svängbjul, remskifvor och andra roterande maskindelar. Detta gäller äfven om bestämmelserna på följande sida, eller sidan 28, om tilloch frånslagning af transmissionsrem och likaså om hvad som står i punkten m) om rengöring och smörjning af maskin eller transmission, samt hvad i punkten n) står taladt om ångpanna, kokare eller annat kärl under tryck, som äro speciellt bestämda i 1 8 Vidare gäller det äfven punkt q), försåvidt som det står i öfverensstämmelse med 1 8. Diärefter träffa vi något i 6 8, vämligen föreskrifter om hvad arbetarna böra iakttaga för att undvika olycksfall och ohälsa i arbetet, d. v. s. olycksfall, törsåvidt de komma af de maskinella anordningarna. Enligt &amp; 7, hvilken, såsom herr Hildebrand nyss anmärkte, är en allvarlig punkt, kan Konungen komma i tillfälle att till och med förhindra användandet af visst slag af maskin eller redskap eller arbetslokal. Sedan står i 10 &amp; någonting, som rör jordbruket. Vidare ha vi — jag skall icke upptaga tiden med uppläsning — någonting som står i 17 $, därpå någonting i 23 $, där det nämligen är fråga, om hvem som skall inspektera detta jordbruk i afseende på maskiner och dylikt. Jag ber att få betona, eftersom det här och hvar sagts, att det skulle vara de kommunala myndigheterna, som skulle ombesörja denna inspektion, att det icke är så, utan att denna inspektion skall verkställas af underinspektörerna. Det är vidare icke heller så, att kommunerna skola aflöna dessa underinspektörer, utan det sker på statens bekostnad, såsom i fråga om inspektörerna. Beträffande återigen de kommunala tillsynorganen står därom taladt i samma paragraf på sidan 38. Hvad dessa ha att göra, är icke så lätt att säga, ty det finns ingen specifikation däröfver, man vet endast, att det är fråga om tillfälligt arbete, såsom byggande etc. i kommunen. Vidare ha vi att fästa afseende vid 24 $. Läsa herrarna igenom sista stycket af denna paragraf, finna pi, att det är en bel massa anmärkningar, som där kunna göras i afseende på tillämpningen beträffande jordbruket. Särskildt torde böra erinras om, att ifall dessa tillsynsorgan brista i fullgörandet af hvad som åligger dem och icke öfvervaka hvad de skulle, Konungens befallningshatvande äger rättighet att utse en person, på hvilken öfverflyttas tillsynens utöfvande, och till denna person får kommunen i fråga betala ersättning. | I 25, 29 och 38 $$ förekommer likaledes åtskilligt, som berör Jordbruket. I den 46 8 går lagen verkligen så långt ner, att den träffar till och med bonddrängarna, ifall de nämligen skulle ta bort eller försätta ur bruk skyddsanordningar. De kunna då straffas under vissa förutsättningar med böter från fem till och med 200 kronor. Härmed har jag i största kortbet genomgått detta lagförslag och velat fästa uppmärksamheten på hvad vi verkligen ikläda oss, ifall</w:t>
        <w:br/>
        <w:br/>
        <w:t>med har jag också inför kammaren lättat mitt samvete, åtminstone så tillvida, att hvar och en lätt bör kunna se hvad han drages in uti genom att rösta för denna lacs tillämplighet jämväl på detta område.</w:t>
        <w:br/>
        <w:br/>
        <w:t>Nu frågar man sig kanske: då jag har så pass många erinringar mot lagen att göra, hvarför bar jag då icke reserverat mig mot hela lagförslaget? Jo, för det första — och det har jag ju förut sagt — är jag i det väsentliga uti hela detta lagförslag ötverens med utskottet och det är endast i fråga om dess tillämplighet äfven för det mindre jordbruket, som jag har dessa allvarliga invändvingar att göra. Vidare torde det hafva sett ganska underligt ut, om jag ensam af Andrakammar-representanterna skulle gentemot utskottets öfriga Andrakammar-medlemmar och jämväl hela Förstakammarafdelvingen af utskottet hafva afgifvit reservation. Det hade väl kanske förefallit bra förmätet och till och med mer än vanligt konservativt. Ty det är ju så, att om en högerman ej går med på bvarje äfven orimlig nyhet, så är detta rysligt konservativt. Vidare har jag på goda grunder tänkt som så: Uppträder jag som reservant, så uppretar Jag därmed bara så mycket värre åtskilliga andra att blifva ännu ifrigare anhängare af hvad jag reserverat mig emot. Jag vill emellertid säga till sist, att bvad som egentligen bestämt mig för att icke afgifva någon reservation härvidlag är en omständighet, som jag mäste gifva kammaren del af: genom en skrifvelse, hvilken jag själf satt upp för att få den ordagrannt intagen i protokollet: »&gt;Från medlemmar inom det parti, jag tillhör, uppställdes inom särskilda utskottet nr 1 det oeftergifliga villkoret för ett enigt utskottsbeslut, att åtminstone det mindre jordbruket skulle undantagas ifrån lagens tillämpningsområde. Men alldenstund vi sakna någon atgörande bestämmelse för hvad man skall förstå med större jordbruk till skillnad från mindre jordbruk utgingo vi därifrån, att det större jordbruket kännetecknas däraf, att det för drifvande af tröskverk och gårdens andra arbetsmaskiner i allmänhet använder sig af mekanisk kraft, under det att det mindre jordbruket för liknande ändamål ungefär lika allmänt använder sig af organisk kraft för drifvande af kreatursvandringar. Med angifvande af denna bestämmelse och lika tydligt angifvande af ändamålet med dess användande i föreliggande fall yrkade vi inom utskottet på att orden »&gt;Kreatursvandringar äro inbegripna» skulle utgå ur sista stycket af &amp; 1 i det kungliga förslaget. Men då beslöt utskottet, att stryka ej blott dessa ord utan äfven orden »För tillvaratagande, utvecklande eller tillgodogörande af mekanisk kraft», hvarigenom vår mening i någon mån förvanskades. Men då ifrån auktoritativt och mest ledande håll inom utskottet offentligen försäkrades, att den af utskottet nu gjorda strykningen skulle apses innebära, hvad vi sålunda begärt, förklarade jag mig ej komma att afgifva den reservation, som jag annars redan skrifvit och lag! på bordet. Detta är nu det historiska förloppet och orsaken till såväl den i kungl. lagförslagets 1 8 gjorda förändringen, som ock att jag ej afgifvit någon reservation. Och förutsatt att under lagförslagets behandling i denna kammare intet försök göres att upphäfva eller</w:t>
        <w:br/>
        <w:br/>
        <w:t>på annat sätt än jag nu gjort tolka utskottets beslut att ur Kungl. Ang. lag om Maj:ts lagförslag stryka orden: &gt;»För tillvaratagande, utvecklande arbetar: eller tillgodogörande af mekanisk kraft, kreatursvandringar därunder Fe 5.) inbegripna», låter jag mina öfriga betänkligheter mot lagförslagets (Forts) tillämpningsområde fara. Dock betonar jag ännu en gång, att hvarje</w:t>
        <w:br/>
        <w:br/>
        <w:t>för i synnerhet det mindre jordbruket intresserad medlem af denna</w:t>
        <w:br/>
        <w:br/>
        <w:t>kammare må se sig noga före och tänka på de allvarliga följderna</w:t>
        <w:br/>
        <w:br/>
        <w:t>af detta lagförslags antagande.»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