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w:t>
      </w:r>
    </w:p>
    <w:p>
      <w:r>
        <w:rPr>
          <w:b/>
        </w:rPr>
        <w:t xml:space="preserve">Datum: </w:t>
      </w:r>
      <w:r>
        <w:t>1913-01-22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Thyren (Utan partibeteckning, man)</w:t>
      </w:r>
    </w:p>
    <w:p>
      <w:r>
        <w:rPr>
          <w:b w:val="0"/>
        </w:rPr>
        <w:t>Endast en kort replik skall jag be att få tillåta mig i anledning av ett par anföranden från statsrådsbänken.</w:t>
        <w:br/>
        <w:br/>
        <w:t>Herr statsministern ville läsa ut ur mitt anförande, att jag längtade tillbaka till gamla tider, då det konstitutionella ansvaret låg på en annan punkt, än där det nu ligger. Jag vet mig icke hava giv it någon anledning till denna uppfattning. Såvitt jag kan erinra mig, nämnde jag icke något, som har med ansvaret att göra, annat än att jag påpekade oegentligheten av att en ansvarig regering har bakom sig en majoritet, vilken är endast delvis ansvarig. Men detta påpekande kan väl icke tydas såsom att jag längtade tillbaka till gamla tider. Vad jag anförde rörande monarkens person hade ju icke det ringaste med det konstitutionella ansvaret att göra.</w:t>
        <w:br/>
        <w:br/>
        <w:t>För att övergå till huvudsaken, gladde det mig mycket att höra, att herr statsministern gick in på en princip, som jag anser vara den allra viktigaste i försvarsfrågan, nämligen att det finnes den gräns, som jag tillät mig kalla vårdslöshetsgräns, d. v. s. ett visst område av försvarsutgifterna, som bör gälla för absolut, som skall komma till stånd, oavsett alla andra krav. Men tyvärr grumlades min glädje, då jag kort därefter hörde herr sjöförsvarsministern ingå på frågan. Han anmärkte, att man kunde tala om en gräns, men att man — såvitt jag hörde — vid bestämmandet av denna gräns först måste hava »de ekonomiska förutsättningarna» klara. — Men då ha vi kapitu-</w:t>
        <w:br/>
        <w:br/>
        <w:t>lerat, och då finnes ingen »vårdslöshetsgräns». Ty frågan angående en sådan gräns är liktydig med denna fråga: finnes det eller finnes det icke ett område, där försvarsutgifterna skola gå före andra; ett område, inom vilket vi icke ha lov att fråga: ha vi råd till dessa försvarsutgifter? Jag påstår, att det finnes ett område inom försvarsutgifterna, som har den valören för samhället, att man icke får först tänka på en mängd andra utgifter och fråga: tillåta alla dessa sistnämnda utgifter att vi även skaffa oss ett försvar? Utan inom detta område — vilket, såsom förut nämnt, endast kan utstakas därigenom, att man söker bilda sig en mening om vilka hinder för fienden som kunna antagas uppväga lockelserna för fienden — måste försvaret sättas absolut före alla andra krav. Men då duger det icke att, såsom herr sjöförsvarsministern gjorde, vända upp och ned på saken och säga även på detta område: först skola vi se efter, om de ekonomiska förutsättningarna finnas, d. v. s. om vi ha råd. Har jag nu förstått hans excellens herr statsministern rätt, kommer hans uttalande att på denna punkt stå i ett glädjande motsatsförhållande till herr sjöförsvarsministerns. Men detta får jag överlämna åt dessa herrar att inbördes klara upp, om de vilja.</w:t>
        <w:br/>
        <w:br/>
        <w:t>Är man emellertid ense om att ett sådant område bör finnas och om grunderna för dess utstakande, så blir det en annan fråga, vem som skall utstaka gränsen för detsamma. Sedan herr statminigtern fastslagit såsom resultat av mitt anförande — såsom riktigt var — att jag ville hålla fram såsom kännetecken på folkets fullmogenhet att det utan något prut offrar vad som behövs för nationell självständighet, fortsatte han: »Ja, det vilja vi alla, men vad är det där, som ”behövs” för nationell självständighet?» Och så interpellerade han mig: »vem bör, enligt herr Thyréns mening, bestämma vad som behövs? Antagligen militärerna.» Ja, därpå kan jag svara både ja och nej. Och jag vet verkligen icke, huru herr statsministern kunde ur vad jag sade antecipera ett så obetingat svar. Jag sade uttryckligen, såsom litet var av herrarne torde komma ihåg, att idén att låta militärer samarbeta med politiker för försvarets stärkande var en god idé, vare sig den utmynnar i ett direkt och fortgående samarbete, så att militärer sitta i beredningen, vilket som bekant nu knappast är förhållandet, eller i ett annat sätt, som också kan vara rätt bra, nämligen så, att beredningen blir ett slags anteciperat statsutskott, med förslag från sakkunniga, d. v. s. militärer, ett System av remisser och återremisser, under ständig jämförelse av förförsvarskrav och andra krav 0. s. vt! Det är väl icke detsamma, som herr statsministern förutsatte, att helt och hållet vilja lägga frågan om gränsens bestämmande i militärernas händer. Jag har fullkomligt öppet öga för de fel, som gjorts i det förflutna. Vad jag menar, är precis det, som jag förut sagt: Anordna mycket gärna ett samarbete på förnuftigt sätt av militärer och därtill dugliga politici, men sÖrj dock för, att sakkunskapen icke blir för mycket eliminerad!</w:t>
        <w:br/>
        <w:br/>
        <w:t>En annan punkt var det, som jag gick lätt förbi, därför att,</w:t>
        <w:br/>
        <w:br/>
        <w:t xml:space="preserve">Onsdagen den 22 januari. 55 jag icke tänkt mig möjligheten av en sådan replik, som sedan kom från herr sjöförsvarsministerns sida. Man må mena det ena eller det andra med dessa försvarsberedningar, de må bestå med eller utan militärer eller ställas i den ena eller den andra rapporten till militärerna, ett borde vi vara ense om, nämligen att det icke duger att låta försvarsmaterielet utan ersättning åldras under den mer eller mindre ovissa tid, som utredningen kan vara. Herr sjöförsvarsministern sade, att det riktiga och naturliga vore att under utredningstiden hålla på status quo. — Vad är status quo i detta fall? Om pansarbåtar vore eviga realiteter eller levande organismer, som förnyade sig själva såsom en människa, så länge </w:t>
      </w:r>
      <w:r>
        <w:rPr>
          <w:b/>
        </w:rPr>
        <w:t>hon²</w:t>
      </w:r>
      <w:r>
        <w:rPr>
          <w:b w:val="0"/>
        </w:rPr>
        <w:t xml:space="preserve"> är i uppgående, så kunde jag förstå detta. Men herr sjöförsvarsministern är alldeles tillräckligt sjöman för att veta, att en pansarbåt är varken det ena eller det andra, varken evig eller levande. Den är tyvärr, tvärtom, en realitet av det slag, som åldras mycket hastigt och åldras från första stund av sin tillvaro. Då så är förhållandet, tror jag för min del, att det är en farlig och fördömlig lek med ord och att invagga sig i en alldeles oförlåtlig säkerhet att kalla det för status quo, som i verkligheten är ett ständigt avtagande mot noll. Och det är klart, att jag på denna punkt måste ställa mig i den mest bestämda opposition mot herr sjöförsvarministern. Jag kan däremot, även här, icke anklaga herr statsministern för att uttyckligen ha intagit denna principiellt oriktiga ståndpunkt.</w:t>
        <w:br/>
        <w:br/>
        <w:t>Slutligen skall jag endast i förbigående påpeka, att när herr statsministern — kanske litet för legert — svarade med orden: &gt;den dagen den sorgen&gt; beträffande åtskilliga punkter, som han citerade efter mig i en klunga, detta ordspråk icke lika lätt låter applicera sig till alla dessa punkter. I en punkt skall jag erkänna befogenheten, nämligen den frågan huru det går med parlamentarismen, huru det går med blocket? Jag säger där detsamma som han: den dagen den sorgen: låt blocket spricka, om det ej vill hålla. Men jag kan rakt icke gå in på applicerandet av detta ofta något lättsinnigt använda ordspråk på den frågan, huruvida det finnes något ursprungligt fel i försvarsberedningarnas anordning, som, mänskligt att döma, måste leda till ett snedvridet resultat, om icke försynen griper in, såsom den ibland, som bekant, gör, i egenskap av förmyndare. Upptäcker och erkänner man ett sådant fel i anordningen, då är det ordspråket förkastligt och då är det väl det riktiga att rätta felet, såvitt man kan.</w:t>
      </w:r>
    </w:p>
    <w:p>
      <w:pPr>
        <w:pStyle w:val="Heading2"/>
      </w:pPr>
      <w:r>
        <w:t>2. Gustaf Steffen (–, man)</w:t>
      </w:r>
    </w:p>
    <w:p>
      <w:r>
        <w:rPr>
          <w:b w:val="0"/>
        </w:rPr>
        <w:t>Att statsutgifter för socialpolitiska ändamål skulle för mycket inkräkta på statsutgifter för militära behov synes utgöra ett huvudbekymmer för den politiska grupp i denna kammare, som kallar sig den nationella. Att så är fallet kom till synes i den förste talarens anförande, och det förefaller, som han förmenade, att det finnes en bättre utväg, än den socialpolitiska, att höja det svenska folkets ekonomi, där detta som bäst behöves. Han sade</w:t>
        <w:br/>
        <w:br/>
        <w:t>nämligen, om jag fattade honom rätt, att &gt;kungsvägen till sociala förbättringar går över en sund allmän och enskild ekonomi&gt;. Ja, låt oss då se till ett ögonblick, hurudan det svenska folkets ekonomi i närvarande stund är beskaffad efter en regim, som till dato utmärkt sig för ett minimum av statsutgifter för socialpolitiska ändamål och för ett minimum av socialpolitik över huvud taget i jämförelse med andra länder av samma civilisationsnivå som vårt land.</w:t>
        <w:br/>
        <w:br/>
        <w:t>Jag vill anföra ett Jus siffror ur ålderdomsförsäkringskommitténs betänkande, vol. Där ha vi fått ett synnerligen värdefullt ljus spritt över vissa dör av inkomstförhållandena i vår nation. Befolkningen över 60 års ålder i början av år 1908 i vårt land utgjordes av omkring 463,000 individer. Bland dessa befunno sig icke mindre än 165,000 i den ekonomiska belägenhet, att de varken genom arbetsförtjänst eller genom besparade medel kunde sörja för sitt eget uppehälle, utan voro helt och hållet anvisade att försörjas av andra. Av dessa 165,000 försörjdes 71,000 av fattigvården och 94,000 av enskilda. Vidare erfara vi i denna utredning, att den manliga befolkningen i vårt land vid början av år 1908 i åldersklassen 18—067 år utgjorde 1,428,000 individer. Av dessa hade icke mindre än 29 procent eller 410,000 en inkomst under 500 kronor om året, och de manliga individer, som hade en inkomst under S00 kronor utgjorde icke mindre än 59 procent av samtliga mellan 18 och 67 år.</w:t>
        <w:br/>
        <w:br/>
        <w:t>Detta är ett drag ur det svenska folkets inkomstförhållanden, som synes mig väl mana till eftertanke hos dem, som ställa försvarsväsendets krav på statskassan framför alla andra. Ty det är tydligt nog, att de enskildes ekonomiska förhållanden inom nationen måste vara grundläggande för försvarskraften. När nu ett minimum av socialpolitik har kunnat bringa oss till dessa inkomstförhållanden, och då ingalunda alla former av socialpolitik, i likhet med t. ex. ålderdomsförsäkringen, ställa några krav på statskassan, så synes mig, att vi borde allesammans, vilken rangordning vi än tillskriva försvarsväsendet och dess utgifter, kunna vara ense om, att här behövs mera socialpolitiskt ingripande för att höja de allra lägsta inkomstklasserna i vårt land upp till en högre, för vår nationella kraft mera tillfredsställande nivå. Till denna slutsats måste var och en komma, som vet och förstår, vad socialpolitik är, att denna intet annat är än en strävan att höja de lägsta nivåerna av inkomstklasserna i samhället och att bättra upp människokraften inom dessa samhällslager.</w:t>
      </w:r>
    </w:p>
    <w:p>
      <w:pPr>
        <w:pStyle w:val="Heading2"/>
      </w:pPr>
      <w:r>
        <w:t>3. Rudolf Kjellen (–, man)</w:t>
      </w:r>
    </w:p>
    <w:p>
      <w:r>
        <w:rPr>
          <w:b w:val="0"/>
        </w:rPr>
        <w:t>Det ser ut som om den fasta punkten i vårt politiska liv för närvarande skulle vara försvarsberedningarna. Herr statsministern har i dag skjutit dem framför sig, när det gällde försvaret av regeringens försvarspolitik, och herr sjöministern har gjort detsamma förut. Vad den sistnämnde beträffar, har han i dag t. o. m. funnit det angeläget att uttrycka sig så, att han bara »anses vara» huvudansvarig för sjöförsvaret; det låter som om han ville</w:t>
        <w:br/>
        <w:br/>
        <w:t>säga, att om rösten än är Jakobs, så äro händerna Esaus! Vi tro hönöm; Åtminstone i dag har han ingalunda uppträtt som målsman för sjöförsvaret, utan snarare som part mot de sjömilitära intressena. Han har sagt, att han måste taga hänsyn till mycket annat: vi trodde, att den, som fått förtroendet att inför Konungen representera ett rikets huvudintresse, har att taga hänsyn till detta, och att först regeringen i sin helhet har att taga hänsyn till de andra intressena. I alla händelser är det klart, att regeringen som helhet är ansvarig för försvarspolitiken; och sitt ansvar döljer den bakom de av densamma tillsatta försvarsberedningarna. »Vi få se vad dessa kunna komma med, vi kunna spara vårt omdöme till dess», sade herr statsministern nyss. Det är alltså förtroende för dessa, som han gör anspråk på.</w:t>
        <w:br/>
        <w:br/>
        <w:t xml:space="preserve">Regeringen — vars egen goda tro liksom Ceesars </w:t>
      </w:r>
      <w:r>
        <w:rPr>
          <w:b/>
        </w:rPr>
        <w:t>hustru²</w:t>
      </w:r>
      <w:r>
        <w:rPr>
          <w:b w:val="0"/>
        </w:rPr>
        <w:t xml:space="preserve"> icke får misstänkas — gör här anspråk på förtroende av den art, fruktar</w:t>
        <w:br/>
        <w:br/>
        <w:t>jag, som kyrkofadern "Tertullianus hävdar i fråga om inkarnationens mysterium, då han säger: »Det är troligt just därför, att det är orimligt; det är säkert därför, att det är omöjligt.&gt; Regeringen är att lyckönska till att ha funnit ett förtroende av denna art bland sina egna; men vi, som icke stå på den sidan, kunna icke taga förnuftet till fånga under en sådan tros lydnad.</w:t>
        <w:br/>
        <w:br/>
        <w:t>Ty vad säger förnuftet i frågan? Vad är det för slags beredningar, som vi äro dömda att avvakta? Jag tänker här givetvis icke på deras ändamål, så till vida som det går ut på ett planmässigt försvar, utan på det sätt, varpå ändamålet sökes. Det är den sammansättning, som dessa beredningar fått, som gör det omöjligt att därav vänta ett gott resultat. Regeringen har ju där samlat under en hatt både normal försvarsvilja och alla grader av försvarsolust, som över huvud fått parlamentarisk gestalt, ända till den rena avrustningsviljan; och av denna komposition väntar regeringen ett försvar, som bland annat — enligt statsministerns ord vid starten — skulle bliva ay »tillfredsställande effektivitet»! Men förnuftet säger mig, att ett helt kan aldrig bevaras, om man sammanjämkar det med bråkdelar. Av kompromissen mellan hel försvarslust och, låt mig säga, halv försvarslust blir tre fjärdedels försvarslust, men icke hel igen och ännu mindre en förökning av det hela. Jag kan icke vänta försvarets pånyttfödelse på någon medelväg mellan försvarsviljan och avrustningsviljan, lika litet som jag väntar en vidmakthållen eller stärkt hälsa av förbindelse med sjukdom!</w:t>
        <w:br/>
        <w:br/>
        <w:t>Man förstår kanske nu bättre det bekymmer, som tog sig uttryck i Konungens diktamen, då beredningarna tillsattes, bekymmer för att försvaret icke skulle ernå »nödig effektivitet» på detta sätt. För oss står hela denna metod som ett på förhand dömt experiment. Jag ber att få påminna om några ord, som Henrik Bernhard Palmer, som var en icke blott kvick utan även klok karl, en gång i borgarståndet uttalade, då det var fråga om att göra ett experiment i smått för att se huru en reform skulle taga sig ut i stort: »Det där</w:t>
        <w:br/>
        <w:br/>
        <w:t>. kunna vi låta vara; om en gåsunge får växa, så blir av honom en gås — det vet vi på förhand och behöva icke experimentera oss till.&gt; Med all respekt sagt, herr talman, synes mig regeringens nuvarande försvarspolitik korteligen kunna karakteriseras som ett experiment, huruvida icke av en gåsunge skall kunna bliva en örn!</w:t>
        <w:br/>
        <w:br/>
        <w:t>Pansarbåtsföreningen gick en annan väg, den vädjade direkt till svenska folkets försvarslust och intet annat; och undret skedde, 17 millioner kronor stampades fram ur vår fattiga jord. Regeringen däremot vädjar till försvarsolusten. Det är oss icke möjligt att vänta något gott resultat på den vägen. Rena förnuftet förbjuder oss att ha förtroende för den politiken.</w:t>
        <w:br/>
        <w:br/>
        <w:t>I detta uttalande ligger icke någon som helst anmärkning mot de ärade herrar av högerpartiet, som gått in i beredningarna. Det ligger ju icke i högerns natur vare sig att vägra ingå i kommittéer eller att efteråt genom strejk förrycka kommitténs arbete, utan den anser som sin plikt att göra vad den kan, även om förhoppningarna äro små på resultatet.</w:t>
        <w:br/>
        <w:br/>
        <w:t>Icke heller vill jag säga, att ett sådant experiment under alla förhållanden måste anses av ondo. Det är mången gång först genom erfarenheten man kommer att lära sig. Vi hava ju också redan förnummit hugnesamma tecken, att vissa försvarslustens bråkdelar vuxit till i ansvarskänsla. Men sådana experiment äro på sin plats endast då tiden och omständigheterna äro sådana, att det kan ske utan ökad risk för landet. Det kan icke hjälpas, att över hela denna försvarspolitik ligger en skugga från den utrikespolitiska situationen. I alla händelser kan den icke bedömas i och för sig, utan endast mot bakgrunden av den tid och de internationellt politiska omständigheter, i vilka vi leva.</w:t>
        <w:br/>
        <w:br/>
        <w:t>Herr statsministern sade i dag, att han i vår framställning av det utrikespolitiska läget icke kan se annat än en spekulation i »känslornas uppsvallning», som han uttryckte sig. Hans egen syn är den rena optimismens. Han har ju icke kunnat undgå att se, att skyar och moln gå över himmelen; men så snart några moln gått förbi och solen skiner fram ett ögonblick mellan dem, pekar regeringens barometer genast åter på stadigt vackert väder, och så går man åter i godan ro att plåstra med invärtes småkrämpor och låter morgondagen för resten ha sin egen omsorg: »den tid, den sorg», som herr statsministern uttryckte sig. Det är klart, att en sådan politik icke är möjlig annat än under den synpunkten att de tilldragelser, som skett i världen, endast äro lokala ledsamheter, som i grunden icke böra bekymra oss — icke ens så mycket som Polens affärer bekymrade våra förfäder!</w:t>
        <w:br/>
        <w:br/>
        <w:t>Jag anser det ytterst angeläget att från denna plats göra ett annat betraktelsesätt gällande. För det ändamålet vill jag kasta en kort tillbakablick på JFuropas historia under nyare tider. Den kommer att ge en annan bild än den pacifistiska framställningen, men den skall i stället ha förmånen att stå på verklighetens grund.</w:t>
        <w:br/>
        <w:br/>
        <w:t>Vi ha bakom oss en mansålder av fred i Europa. I det pacifistiska föreställningssättet, åtminstone på vissa håll, framstår den rent av som inledningen till tusenårsriket; man beklagar atavistiska återfall — Balkan och Tripolis — men detta rubbar icke den vackra tron. Jag måste däremot anmärka, att före inträdet av denna fredsperiod — d. v. s. före år 1878, då Europas karta fick i det väsentliga sina nuvarande konturer — låg en utpräglad krigsperiod, som varade i tre decennier; då hörde krig i Europa till ordningen för dagen. Därförut åter låg en mansålder, då krig mellan stormakterna var lika sällsynt som i vår tid, en utpräglad fredsperiod från 1815 till 1848. Där bakom ha vi sedan de väldiga skakningarna under franska revolutionens och Napoleons dagar, 1792—1815; men där bakom i sin tur en fredsperiod från 1763, som kom efter Fredrik den stores krigiska tid. Vad vill detta säga? Det är icke den pacifistiska drömmen om en ständigt sig framarbetande fred. Det är en bistrare verklighet: en cirkulation mellan krigsoch fredsperioder, som ligga likt svarta och vita tangenter på en klaviatur. I samma mån statssystemet vunnit i fasthet, i samma mån framstår denna cirkulation alldeles för regelbunden för att kunna anses som tillfällig.</w:t>
        <w:br/>
        <w:br/>
        <w:t>Naturligtvis kan ingen tid uteslutande se tillbaka på det som varit, men ännu mindre kan den vänta sig rent undantagen från de lagar, som hittills verkat. Varje tid har sina uppgifter, och ingen förnekar att nu finnas faktorer, som äro gynnsamraare för freden än förr, men skola vi därför rent suspendera erfarenhetens vittnesbörd?</w:t>
        <w:br/>
        <w:br/>
        <w:t>Då man ser denna systematiska växling mellan perioder af skakningar och af ro, frågar man sig, om detta icke ligger i sakens natur. Är det icke så, att statssystemet ständigt balanserar sig till eller från ett jämnviktsläge? Detta jämnviktsläge får sitt uttryck i traktater, t. ex. 1815 och 1878, varigenom kartans utseende förändras. Men medan kartan sedan står stilla, går utvecklingen alltjämt sin gång; tyngdpunkten växlar, tyngderna i vågskålen flyttas, balansen förskjutes, en makt växer över sina gränser, en annan makt fyller icke längre sin plats. Så kommer en tid, då kartan är en urvuxen dräkt; då blir det oro i statssystemet, världen söker ett nytt jämnviktsläge, som motsvarar den verkliga maktbalansen.</w:t>
        <w:br/>
        <w:br/>
        <w:t>Varje karta är sålunda mer eller mindre en ögonblicksfotografi. Den karta, som Europa nu har, motsvarar 1878 års maktförhållanden, men icke de nuvarande. Då uppstå naturligtvis brytningar först på utkanterna, och genom en serie av skakningar söka sig staterna våndefullt upp på ett nytt jämnviktsläge.</w:t>
        <w:br/>
        <w:br/>
        <w:t>Är det något i närvarande tid, som reagerar mot status quo, det folkrättsligt bestående jämnviktsläget? Vi känna, att Europa nu balanserar med två maktgrupper, trippelalliansen och trippelententen. Se vi litet på deras yttre konturer, så finna vi, att trippelententen motsvaras af 61/, millioner kvadratkilometer och 220 millioner människor, den andra av 1?/, millioner kvadratkilometer och</w:t>
        <w:br/>
        <w:br/>
        <w:t>152 millioner människor. Således på ytan är det en icke alldeles väl avvägd balans; men det finns ju ock andra faktorer än de rent matematiska, som kunna inverka till jämnvikt. I det hela taget går det också ganska bra ihop, så länge vi se på Europas scen. Men det är för oss alla väl bekant, att det icke är på denna scen, som världshistorien nu verkligen spelar. Europas ledande makter ha växt utanför den scenen genom sina besittningar på andra håll; världshistorien har arbetat sig upp på ett högre plan, det s. k. planetariska. Huru är då jämnvikten där? Det visar sig, att den maktgruppering, som vi kalla trippelententen, har under sin kontroll mellan 60 och 70 millioner kvadratkilometer, men den motsatta icke mer än 5 och 6 millioner, d. v. s. den förra har 11 eller 12 gånger så mycket. Vad beträffar antalet människor, så motsvaras 640 millioner hos den förra af icke fullt 170 millioner hos den senare, d. v. s. fyra gånger mindre. Detta är för stora skillnader för att kunna vara illusoriska. Se vi saken så, blir det för oss med ens klart, huru i stormakternas uppställning de mera besittande ingått ett förbund mot de mindre besittande; de stora och rika stå på ena sidan, mot de fattiga och små på den andra.</w:t>
        <w:br/>
        <w:br/>
        <w:t>Det är efter min mening denna motsats, som tiden söker att utjämna, det är denna spänning som vill utlösa sig till rättvisare fördelning. Ty den överensstämmer icke med de verkliga maktförhållandena. En stat, vår stormaktsgranne i söder, har vuxit sig större än sina tal; andra makter äro måhända mindre än sina tal. Den som känner stämningen i vårt södra grannland vet med vilket allvar insiktsfulla män där motse en stundande jättekamp, som skall avgöra, om deras land skall tryckas ned till sekunda rang eller bevara sig på en vederbörlig plats på den planetariska scenen. FEuropas jämnvikt är ett sken; nu är frågan om den planetariska jämnvikten. Världshistorien söker ett nytt jämnviktsläge, avpassat efter nya maktproportioner.</w:t>
        <w:br/>
        <w:br/>
        <w:t>Ger man akt på sådana tidens tecken, då förvandlas blicken på dagens företeelser. Då kunna vi icke längre se på företeelserna i Marocko, Tripolitanien och Balkan, som man i de östra Förenta staterna ser på indianuppror i fjärran västern. Företeelserna stå icke heller isolerade från varandra. Vad vi se, är preludierna till en världshistorisk kris, en kris som har stormceentrum i vår omedelbara närhet, och som icke kan väntas utlöst förr än efter många och svåra skakningar. Det är icke tillfälligheter, som omge oss; vi måste bereda oss på en ny krigsperiod.</w:t>
        <w:br/>
        <w:br/>
        <w:t>Men om förhållandena äro sådana, vad skall man då säga om en utrikespolitik, som — om också bara till skenet, om också med åtskilliga restriktioner — ändock närmar våra öden mera än hittills till staters, som stå ännu närmare stormcentrum? Och vilken skall domen bliva över en försvarspolitik, som finner just dessa tider, när ett avgörande prov kan vänta snart sagt när som helst, lämpliga att låta rikets naturliga försvarsutveckling avstanna i väntan på</w:t>
        <w:br/>
        <w:br/>
        <w:t>utredningar, som därtill äro på förhand dömda att misslyckas? Jag önskar, herr talman, att jag kunde säga det så högt, att det hördes över hela landet: vad vårt land i dessa kritiska tider behöver, är icke försvarsberedningar, utan försvarsberedskap!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