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w:t>
      </w:r>
    </w:p>
    <w:p>
      <w:r>
        <w:rPr>
          <w:b/>
        </w:rPr>
        <w:t xml:space="preserve">Datum: </w:t>
      </w:r>
      <w:r>
        <w:t>1913-03-05</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Bergqvist (Högerns riksdagsgrupp, man)</w:t>
      </w:r>
    </w:p>
    <w:p>
      <w:r>
        <w:rPr>
          <w:b w:val="0"/>
        </w:rPr>
        <w:t>Jag kan icke underlåta att påpeka, hurusom motionären och reservanten inlägga grundväsentligt olika betydelse i det nu föreliggande förslaget. Motionären har själv sagt, att när utskottet här bland annat anger motionens syfte vara att förvärva samma kyrkorättsliga värde åt det s. k. lekmannadopet, som det dop äger, vilket prästman förrättar, utskottet därmed »huggit i sten», såsom orden föllo. Det har visst icke, säger han, varit hans syfte med motionen att få lekmannadopet på något sätt kyrkorättsligt erkänt, ty han vet mycket väl, att med den av honom föreslagna anteckning bekräftelse på dopet kräves lika väl som med nu gällande anteckning. Vad motionären har velat är endast, såsom han säger, att få ett formellt riktigare uttryck för anteckningen av lekmannadopet, ett uttryck, som skulle stå i bättre överensstämmelse med svensk författning, och han vädjade till och med till kammarens jurister, om han icke därutinnan hade rätt. Jag får verkligen säga, att är detta det magra syftet med motionen, synes den mig hava kommit fram i onödan.</w:t>
        <w:br/>
        <w:br/>
        <w:t>Om anteck- Jag vill för övrigt fästa uppmärksamheten på, att den nuvarande an-</w:t>
        <w:br/>
        <w:br/>
        <w:t>teckningen icke står där i kyrkoböckerna så naken, som motionären har sagt, utan där hänvisas till ett intyg över dopförrättningen, som utav vederbörande dopförrättare skall vara utfärdat och av vittnen bestyrkt, och genom hänvisning till detta intyg, som av pastor skall förvaras, kommer anteckningen att få en positiv innebörd och således icke att stå där så fullständigt negativ, som motionären velat göra gällande.</w:t>
        <w:br/>
        <w:br/>
        <w:t xml:space="preserve">Om jag nu går till reservanten och söker göra klart för mig, vad han inlägger i denna motion, så finner jag, att det är något helt annat. Han hänvisar till de medborgerliga rättigheter, som kunna vara beroende av, att dopet av svenska kyrkan erkännes, och han säger, att om Riksdagen nu följer den av motionären anvisade utvägen och det leder till en ny kungörelse eller ett nytt cirkulär från Kungl. Maj:ts sida, de nu förevarande svårigheterna i detta avseende omedelbart skulle försvinna. Det är ju således givet, att reservanten har en helt annan tolkning av motionens innebörd än den motionären här under diskussionen gjort gällande. Han håller tydligen före, att den av motionären föreslagna anteckning skulle medföra ändring med avseende på lekmannadopets kyrkorättsliga betydelse. Nu vill jag säga, att enligt min uppfattning denna reservantens ståndpunkt är fullkomligt ohållbar, ty om också en ändring med avseende på anteckningen av lekmannadop skulle beslutas, kommer detta icke att inverka på det krav, som måste uppställas, att detta dop för att få kyrkorättslig giltighet måste av kyrkan bekräftas. Detta krav tycker reservanten emellertid vara obarmhärtigt. Han säger, att det synes, som om det vore för det svenska prästerskapet angelägnare att barnen bliva medlemmar av den svenska kyrkan, än att de bliva medlemmar av den allmänneliga kristna kyrkan. Jag förstår icke, huru ett sådant uttalande kan göras. Det vore ett berättigat uttalande, om den svenska kyrkan av princip hade underkänt lekmannadopets sakramentala betydelse, men det har aldrig fallit den svenska kyrkan in att principiellt underkänna lekmannadopet såsom ett sakrament. Det är icke den saken, vi tala om här. Har nu lekmannadopet kristlig giltighet enligt nya testamentet, då införes även enligt den svenska kyrkans uppfattning det av en lekman döpta barnet i den allmänneliga kristna församlingen, men då man därjämte vill ha det till medlem av ett empiriskt kyrkosamfund, måste man väl underkasta sig de kyrkorättsliga krav detta samfund uppställer för vinnande av medlemskap däri. Detta och intet annat är det här fråga om. Det är icke mera som kräves, än att vederbörande skola ställa sig svenska kyrkans ordning till efterrättelse om de vilja bliva betraktade såsom </w:t>
      </w:r>
      <w:r>
        <w:rPr>
          <w:b/>
        </w:rPr>
        <w:t>hennes²</w:t>
      </w:r>
      <w:r>
        <w:rPr>
          <w:b w:val="0"/>
        </w:rPr>
        <w:t xml:space="preserve"> verkliga medlemmar. Den fråga, som reservanten uppkastade, huruvida en icke döpt är medlem av svenska kyrkan ligger utanför vår diskussion, och jag vill icke gå in på att bemöta, vad han i detta avseende sade.</w:t>
        <w:br/>
        <w:br/>
        <w:t>Jag anhåller att få yrka bifall till utskottets förslag.</w:t>
      </w:r>
    </w:p>
    <w:p>
      <w:pPr>
        <w:pStyle w:val="Heading2"/>
      </w:pPr>
      <w:r>
        <w:t>2. Wilhelm Gullberg (Liberala samlingspartiet, man)</w:t>
      </w:r>
    </w:p>
    <w:p>
      <w:r>
        <w:rPr>
          <w:b w:val="0"/>
        </w:rPr>
        <w:t>Jag begärde ordet med anledning av vad den siste ärade talaren anmärkte dä han sade, att om mitt syfte endast var att åstadkomma en riktigare anteckning av dophandlingen så är</w:t>
        <w:br/>
        <w:br/>
        <w:t>meningen med motionen mycket mager. Det tycker jag är bra underligt, att betydelsen av dessa anteckningar nu framställas på det sättet av den ärade talaren. Den nuvarande anteckningen »icke av svenska kyrkan döpt» utgör, enligt vad det sagts mig, resultatet av en fem dagars biskopskonferens här i staden, och då bör den och meningen med den väl icke vara mager. Den anteckningen, som jag begärt, finner nu en svenska statskyrkans biskop mager, och likväl sades det på sin tid, att den var en sprängkil, som höll på att fördärva hela den svenska kyrkan. Jag kan icke förstå det resonemanget. Få se om i dag över kammaren råder den biskopliga anden från 1897 eller om det sunda förnuftet får komma till sin rätt i en så enkel anteckningsfråga som det nu gäller?</w:t>
      </w:r>
    </w:p>
    <w:p>
      <w:pPr>
        <w:pStyle w:val="Heading2"/>
      </w:pPr>
      <w:r>
        <w:t>3. Sam Stadener (Liberala samlingspartiet, man)</w:t>
      </w:r>
    </w:p>
    <w:p>
      <w:r>
        <w:rPr>
          <w:b w:val="0"/>
        </w:rPr>
        <w:t>Jag har väntat med att ta till orda därför, att jag misstänkte, att jag till sist skulle nödgas uppträda till försvar för min vän Gullberg. Han har genom att komma tillbaka med denna motion i år och genom att i tre anföranden lägga den på kammarens hjärta, förmodligen tröttat de ärade ledamöterna. Jag har därför velat säga, att denna sak har utan tvivel en mycket stor betydelse för motionären och för de med honom liktänkande. Det ligger nog för honom och de med honom liktänkande och kanske för oss litet var bakom denna motion ett verkligt problem, som det är alldeles säkert, att vi måste lösa och icke kunna undanskjuta i det oändliga. Men lika säkert som det är skäl för Riksdagen att eftersöka en utväg ur denna svårighet, lika säkert är, att det finns bättre och sämre sätt att lösa saken, och för min del har jag den uppfattningen, att den ärade motionärens förslag icke tillhör de bättre. Jag skall göra tre korta uttalanden, av vilka två äro avsedda att utgöra vissa medgivanden åt motionären, och det tredje utgör den opposition, varpå jag grundar min avslagsbegäran.</w:t>
        <w:br/>
        <w:br/>
        <w:t>Jag medger, att det är abnormt — och i det stycket hade även reservanten rätt i sitt anförande — att den handling, som utföres av en lekman och om vilken både kyrkliga och frikyrkliga äro ense om, att den kan anses för ett rätt kristligt dop, icke också skall antecknas såsom ett rätt kristligt dop.</w:t>
        <w:br/>
        <w:br/>
        <w:t>Det är vidare abnormt, att det finnes medborgare här i landet, som i sina civila papper, flyttningsbetyg och äktenskapsbetyg och allt vad de heta, upptagas såsom icke döpta och icke ägande kristendomskunskap, under det de kunna vara både döpta och undervisade, låt vara att det skett inom en frikyrkoförsamling.</w:t>
        <w:br/>
        <w:br/>
        <w:t>Men nu kommer jag till oppositionen. Jag finner det oberättigat av motionären att begära, att frågan skall lösas på det enkla vis, att man kallar en frikyrklig handling för kyrklig. Jag anser det vara ett brytande av god ordning att följa den väg, som motionären föreslagit. Varje samfund har sin ordning, och även svenska kyrkan har sin. Det, som sker inom den, är kyrkligt, och det som i detta fall sker utanför, är frikyrkligt. Det dop, som förrättas enligt anglikansk ritus är ett rätt kristligt dop, men på samma gång ett anglikanskt. Ett dop enligt metodisternas ordning är ett rätt kristligt dop men på samma gång ett metodistiskt. Ett dop enligt frikyrklig ritus är ett</w:t>
        <w:br/>
        <w:br/>
        <w:t>Den ärade motionären invänder, att han icke begär, att ett frikyrkligt dop skall antecknas såsom kyrkligt, utan endast en anteckning av enkla fakta, så att den, som är döpt av en lekman, skall antecknas såsom döpt av lekman. Motionären göre sig icke oskyldig! Det är allmänt känt och även uttalat av lagutskottet vid föregående års behandling av denna fråga, att fastän motionen till synes endast berör sättet för lekmannadopens anteckning i ministerialböckerna, torde dock dylik anteckning, verkställd på ena eller andra sättet, faktiskt bliva avgörande för den betydelse, som, då i särskilt fall fråga därom uppstår, må kunna tillerkännas sådant dop. Jag instämmer med herr Bergqvist, då han sade, att om icke detta vore syftet med motionen, så har motionären tämligen obefogat tagit utskottets och kammarens tid i anspråk.</w:t>
        <w:br/>
        <w:br/>
        <w:t>Men lösningen av denna fråga, var skall den sökas? Lösningen, mina herrar, ligger icke på den väg, motionären säger. Den består icke i att ålägga kyrkans ämbetsman att motvilligt göra vissa anteckningar. Vem inser icke, att ett dylikt åläggande skall vara att uppriva strid på det område, där man numera lyckligtvis anser strid osympatisk, nämligen på det religiösa området. Lösningen ligger ej heller däri, att man i en eller annan form uppmanar motionären och hans liktänkande att gå ut ur kyrkan och bilda egna kyrkor eller separata kyrkoförsamlingar. Det ha de hittills icke gjort av egen drift, och det överensstämmer icke med folkkyrkans idé att giva denna uppmaning.</w:t>
        <w:br/>
        <w:br/>
        <w:t>Lösningen ligger på ett annat håll. Den ligger däri, att man vidgar kyrkans former så pass, att där kan vara gott utrymme för dessa frikyrkor och deras kulthandlingar. Låt oss få sådan ordning för den svenska kyrkan, att där kan vara plats även för de frikyrkliga församlingarna med det särkynne och den utformning, som historien en gång givit dem. Låt oss säga till dem: »I ären verkliga delar av nationens religiösa liv, I haven tydligen eder uppgift i vårt folkliv och vårt samhälle. Vi erkänna detta genom att giva edra försarmlingar plats inom den lagfästa organieationen». När detta erbjudes och när detta accepteras, så löses denna fråga om lekmannadopet av sig själv och då lösas många andra spörsmål, som sitta som en ständig oro i den del av samhällskroppen, där de religiösa intressena äro vakna. Om några dagar hoppas jag, att på kammarens bord skall ligga till behandling en motion, fom just åsyftar att bereda väg för frågans lösning i denna riktning. Jag föreställer mig, att den ärade motionären och jag skola då bättre komma överens än i denna debatt, och få vi då kammarens bifall, komma vi ett gott stycke på väg till lösning av dessa angelägenheter.</w:t>
        <w:br/>
        <w:br/>
        <w:t>Jag skall icke lämna ordet, förrän jag gjort ett tillägg med anledning av några uttalanden under debatten. Tvenne av de ärade ledamöter, som haft ordet, hava låtit förstå, att detta är en fråga, varmed Riksdagen icke bör sig lämpligen befatta. Jag antager, att yttrandet närmast betyder, att Riksdagen icke är lämpligt forum för dogmatiska spörsmål. Det må därför påpekas för det första, att det</w:t>
        <w:br/>
        <w:br/>
        <w:t>icke är någon dogmatisk fråga, som det här gäller. Jag är alldeles Om antecköverens med den ärade utskottsordföranden, då han uttalade, att en ping. av &amp; Be debatt om Guds treenighet eller om dogmatiska lärostycken icke bör (Forts.) P förekomma i Riksdagen. Här gäller det emellertid icke en dogmatisk ” fråga, utan Riksdagen skall uttala sig i en ordningsfråga eller en disci-</w:t>
        <w:br/>
        <w:br/>
        <w:t>plinär fråga, nämligen om en kulthandling, ett dop, verkställt av vem</w:t>
        <w:br/>
        <w:br/>
        <w:t xml:space="preserve">som helst, exempelvis av de s. k. Manasse </w:t>
      </w:r>
      <w:r>
        <w:rPr>
          <w:b/>
        </w:rPr>
        <w:t>döttrar²</w:t>
      </w:r>
      <w:r>
        <w:rPr>
          <w:b w:val="0"/>
        </w:rPr>
        <w:t>, eller andra utanför</w:t>
        <w:br/>
        <w:br/>
        <w:t>ordnat församlingsliv stående personer, skall registreras som dophand-</w:t>
        <w:br/>
        <w:br/>
        <w:t>ling av vårt svenska kyrkosamfund. Det är en disciplinäroch ordningsfråga, och jag föreställer mig, att kammarens intresse ligger på</w:t>
        <w:br/>
        <w:br/>
        <w:t>utskottets sida i den saken.</w:t>
        <w:br/>
        <w:br/>
        <w:t>För det andra synes mig det uttalande, som här gjordes, att Riksdagen icke bör befatta sig med dessa ärenden, kunna medföra den konsekvensen, att man till sist ställer sig ganska likgiltig för statskyrkans organisation i stort sett. När man gör ett sådant uttalande, så kan det tolkas som ett negativt och beslöjat uttryck för, att man i själva verket känner sig gå mot en upplösning av statens omsorg om nationens kyrkliga angelägenheter. En dylik upplösning är ju intet annat än det gamla Waldenströmska önskemålet. Det enda överraskande är, att det skulle kunna framföras av de män, som här uttalat dessa satser. Jag är emellertid övertygad, att de själva icke tänkt sig dessa konsekvenser, som för mig framträda.</w:t>
        <w:br/>
        <w:br/>
        <w:t>Jag vill i detta sammanhang uttala övertygelsen, att nationens religiösa angelägenheter säkrast vila i folkrepresentationens händer, ty historien lär, att när man skapar i samma folk ett politiskt och ett religiöst centrum, så uppstå förr eller senare slitningar mellan dessa två. En enhetligt samlad befogenhet att både politiskt och religiöst besluta hindrar ju icke, att folkrepresentationen kan fördela sin maktbefogenhet, så att vissa, till exempel just dogmatiska spörsmål hänvisas till en särskild sakkunnig institution, men ytterst och till sist säkrast är det dock, att folkrepresentationen avgör nationens religiösa angelägenheter. Det torde vara protestantismens stora gåva åt vårt folk, att det slipper slitningen mellan tvenne skilda maktcentra, ett politiskt och ett religiöst. Åtminstone kan man anse detta som en lycklig anordning, så länge det finnes något intresse för nationellt religiösa ting inom Riksdagen, och jag menar, att det finnes där. Jag delar icke de talares mening, som anse, att det skulle ha en stor betydelse om några medlemmar av Riksdagen icke skulle vara kristna. Det är, mina herrar, många, som väljas till riksdagsmän, som icke förstå sig på sockerbeskattning eller fläsktullar eller torvmossar eller åtskilligt annat av allt detta goda. Det är då teoretiskt möjligt, att Riksdagen kommer att bestå endast av personer, som icke förstå sådana ting, men denna teoretiska möjlighet kommer praktiken alltid att jäva. Jag är övertygad, att vi alltid i Riksdagen skola hava tillräckligt intresse för behandlingen av nationens verkligen vitala religiösa spörsmål.</w:t>
        <w:br/>
        <w:br/>
        <w:t>Det är nog skäl, att vi hålla på den gamla nationella statskyrkoinstitutionen. Den är bra och kan göras bättre; den är då tusen gånger friare än alla andra institutioner, som man vill hava i stället. Där blåser mera frisk luft i den än i de flesta andra konkurrerande</w:t>
        <w:br/>
        <w:br/>
        <w:t>kyrkosamfund. Jag tror, att det finnes goda skäl, att hålla på den. Jag yrkar bifall till utskottets hemställan och avslag på motionen.</w:t>
        <w:br/>
        <w:br/>
        <w:t>hövlig mängd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