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249</w:t>
      </w:r>
    </w:p>
    <w:p>
      <w:r>
        <w:rPr>
          <w:b/>
        </w:rPr>
        <w:t xml:space="preserve">Datum: </w:t>
      </w:r>
      <w:r>
        <w:t>1916-05-02</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Klefbeck (Socialdemokraterna, man)</w:t>
      </w:r>
    </w:p>
    <w:p>
      <w:r>
        <w:rPr>
          <w:b w:val="0"/>
        </w:rPr>
        <w:t>Herr talman! Jag ber om ursäkt, men jag är tvungen att svara på den replik, som vice ordföranden i utskottet framförde.</w:t>
        <w:br/>
        <w:br/>
        <w:t>Vad det sista beträffar, som han sade, att jag talt om att »kväva livet», så framhöll jag detta som det mål, vartill utvecklingen leder, om man förhindrar församlingsfriheten, och jag har anfört bevis för att tendenser i den riktningen förefinnas. Jag hoppades nu, att en sådan skrivelse som denna skulle kunna bifallas för att förhindra, att detta mål, som jag fruktade, nås.</w:t>
        <w:br/>
        <w:br/>
        <w:t>Vad sedan beträffar att jag skulle ha missförstått utskot. tets kläm, har jag verkligen inbillat mig, att jag förstått den rätt, ty där anhålles om en skrivelse — visserligen på grund av motionen om grundlagsändring — men en skrivelse, i vilken be. gäres icke blott grundlagsändring, utan också en utredning om den kompletterande lagstiftning, som skulle hänga samman med grundlagsändringen.</w:t>
        <w:br/>
        <w:br/>
        <w:t>Vidare vill jag säga, att den metod, som man har kriticerat, nämligen att först genomföra en grundlagsändring och sedan komma med den kompletterande lagstiftningen, icke har varit utan föregående exempel. Så har t. ex. varit förhållandet i fråga om lagstiftningen om militieombudsman, och så har också</w:t>
        <w:br/>
        <w:br/>
        <w:t xml:space="preserve">skett i fråga om lagstiftningen rörande </w:t>
      </w:r>
      <w:r>
        <w:rPr>
          <w:b/>
        </w:rPr>
        <w:t>kvinnas¹</w:t>
      </w:r>
      <w:r>
        <w:rPr>
          <w:b w:val="0"/>
        </w:rPr>
        <w:t xml:space="preserve"> rätt att utnämnas till tjänster. Det fanns en sådan bestämmelse om </w:t>
      </w:r>
      <w:r>
        <w:rPr>
          <w:b/>
        </w:rPr>
        <w:t>kvinnornas¹</w:t>
      </w:r>
      <w:r>
        <w:rPr>
          <w:b w:val="0"/>
        </w:rPr>
        <w:t xml:space="preserve"> rätt att utnämnas till tjänster införd i grundlagen, innan några bestämmelser som kompletterade detta funnos. Men dessa formella anmärkningar kunna icke, menar jag, nu med samma fog framföras som förut, när utskottet har begärt att få en skrivelse rörande båda sakerna.</w:t>
      </w:r>
    </w:p>
    <w:p>
      <w:pPr>
        <w:pStyle w:val="Heading2"/>
      </w:pPr>
      <w:r>
        <w:t>2. Karl Ekman (Första kammarens nationella parti, man)</w:t>
      </w:r>
    </w:p>
    <w:p>
      <w:r>
        <w:rPr>
          <w:b w:val="0"/>
        </w:rPr>
        <w:t>Herr greve och talman! Det är ju bekant, att frågan om medlemskap i svenska kyrkan och därav följande rättigheter och skyldigheter är synnerligen oklar, beroende på att man i lagstiftningen utgår från den fiktionen, att varje medlem av svenska staten också är medlem av den evangelisk-luterska kyrkan. Det förhöll sig så under gångna århundraden, men det förhåller sig numera icke så. Hos</w:t>
        <w:br/>
        <w:br/>
        <w:t>oss råder i stället det egendomliga förhållandet, att t. ex. omkring 40,000 baptister och omkring 12,000 metodister med flera dylika främmare trosbekännare kvarstå inom kyrkan och officiellt betraktas såsom luteraner, trots att de faktiskt hysa en helt annan trosåskådning. Därav följa åtskilliga förhållanden, som åstadkomma svårigheter och strider.</w:t>
        <w:br/>
        <w:br/>
        <w:t>Då nu emellertid, såsom lagutskottet påpekat, kyrkomötet redan har avlåtit en skrivelse till Kungl. Maj:t i denna fråga, skall jag icke upptaga tiden med att framställa något yrkande, utan finner mig i den hemställan utskottet kommit till.</w:t>
      </w:r>
    </w:p>
    <w:p>
      <w:pPr>
        <w:pStyle w:val="Heading2"/>
      </w:pPr>
      <w:r>
        <w:t>3. Sam Stadener (Liberala samlingspartiet, man)</w:t>
      </w:r>
    </w:p>
    <w:p>
      <w:r>
        <w:rPr>
          <w:b w:val="0"/>
        </w:rPr>
        <w:t>Herr talman! Då motionären icke har framställt något från lagutskottet avvikande yrkande, kan det synas vara överflödigt att upptaga kammarens tid med något yttrande i denna fråga. Men jag har icke velat låta herr Ekmans motion passera utan att säga några ord om densamma.</w:t>
        <w:br/>
        <w:br/>
        <w:t xml:space="preserve">Motionen är liksom lagutskottets utlåtande ganska kortfattad, och jag föreställer mig, att mången läsare av dessa två aktstycken har litet svårt att förstå, vad saken egentligen gäller. Motionären har just icke för sin del yttrat sig med någon större klarhet, och hans önskemål framträda icke i form av påtagliga och bestämda yrkanden. Emellertid tror jag, att man gör motionären rättvisa, om man säger, att han har givit akt på det missförhållandet, låtom oss gärna medge det, att vissa kyrkliga förtroendeposter och tjänster äro tillgängliga för personer, som kunna anses vara från kyrklig synpunkt mindre kvalificerade. Jå t. ex. har det hänt, att en och annan medlem av något kyrkoråd befunnits vara medlem av en friförsamling, eller att en person, som anslutit sig till en friförsamling, trots detta kunnat kvarstå i sin innehavande tjänst såsom lärare eller </w:t>
      </w:r>
      <w:r>
        <w:rPr>
          <w:b/>
        </w:rPr>
        <w:t>lärarinna³</w:t>
      </w:r>
      <w:r>
        <w:rPr>
          <w:b w:val="0"/>
        </w:rPr>
        <w:t>. Därtill har motionären sett, att Kungl. Maj:t i seminariestadgan fastslagit såsom villkor för inträde i seminarium endast att eleven skall vara medlem av svenska kyrkan, i stället för att förut en uttrycklig bestämmelse fanns, att seminarieelev skulle vara döpt och nattvardsberättigad. Allra sist har motionären varit med om att riksdagen och kyrkomötet funnit lämpligt att tillåta kyrklig vigsel även för odöpta personer. Jag tror, att jag förstår motionärens tankegång rätt, om jag säger, att allt detta hos honom framkallat ett missnöje, som nu sökt sig ett utlopp. Att döma av vissa uttryck har han även tänkt sig kunna vrida saken till rätta.</w:t>
        <w:br/>
        <w:br/>
        <w:t>Låt oss nu se, vilka åtgärder motionären föreslår. Enligt mitt förmenande söker han dessa åtgärder i längesedan gångna tider. Han önskade att vrida utvecklingen tillbaka. Han vill förmå riksdagen att gå in på en utredning och därefter en lagstiftning, som skulle uppdela medlemmarna av den svenska kyrkan i två grupper, varav den ena gruppen skulle omfatta — jag använder nu motionärens eget uttryck, som jag finner vara mycket bristfälligt och rent av oriktigt — de människor, som</w:t>
        <w:br/>
        <w:br/>
        <w:t>Jag tror icke, att man behöver skissera denna tankegång vidare för att göra begripligt, hur omöjligt det är att få ett dylikt förslag genomfört. Kan man verkligen tänka sig en riksdag eller ens ett kyrkomöte, som skulle vara hågat att juridiskt och administrativt uppdela den svenska kyrkans medlemmar - nämnda sätt? Och om man också på sådant håll skulle vara</w:t>
        <w:br/>
        <w:br/>
        <w:t>ågad därför, skulle det likväl vara möjligt? Låt oss tänka på dessa strider om dopet och dess antecknande, vilka ju herrarna ha i minnet sedan några år tillbaka; skulle det verkligen vara önskligt, att man på nytt reve upp sådana strider? Och skulle man nu kunna enas om dopfrågans lösning?</w:t>
        <w:br/>
        <w:br/>
        <w:t>För övrigt, vem garanterar oss, att vi genom att på detta sätt skilja på olika slags medlemmar av den svenska kyrkan skulle få reda på var de så att säga aktiva medlemmarna finnas och var de så att säga passiva medlemmarna finnas? Jag förmodar att det är dit motionären egentligen vill. Mig åtminstone förefaller det emellertid alls icke säkert, att en person, som är odöpt, eller en person, som förblivit okonfirmerad, eller en person, som mera sällan begagnar sig av sakramentet, att en sådan person också nödvändigt skall vara en religiöst eller kyrkligt ointresserad person. Jag tror tvärtom, att en sådan person mer än en gång kan vara varmare till sin religiositet och även äga kyrkligt intresse i större omfattning än många, som äro aldrig så korrekt döpta eller konfirmerade.</w:t>
        <w:br/>
        <w:br/>
        <w:t>Därtill kommer, att det icke synes mig vara religiöst värdigt att göra dop, konfirmation och nattvardsgång till juridiska villkor för befogenheter inom det kyrkliga samfundet. Det Synes mig, att en sådan åtgärd innebure en tillbakagång till äldre tiders missbruk av dessa institutioner. Vi ha bortarbetat detta missbruk ur vårt kyrkliga liv och det synes mig verkligen, att en någorlunda genomförd finkänslighet i religiösa ting förbjuder att på nytt uppställa dessa handlingar såsom juridiskt användbara villkor.</w:t>
        <w:br/>
        <w:br/>
        <w:t>Nu förstår jag, att den ärade motionären vill mot detta invända: Hur önskar ni då, att vi skola skapa några garantier, hur vill ni åstadkomma, att dessa kyrkliga förtroendeuppdrag och tjänster förses med lämpliga och värdiga personer? Därpå svarar jag, att det finns inga sådana garantier av juridisk art, och att det helt enkelt icke är lämpligt från en evangelisk kyrkas sida att begära sådana garantier. Ju mer man lever sig in i, vad en evangelisk kyrka till sitt väsen är, desto mer kommer</w:t>
        <w:br/>
        <w:br/>
        <w:t xml:space="preserve">man underfund med, att en sådan kyrka måste till sin läggning vara, om jag så får säga, slösande, optimistisk och besjälad en fast förvissning om att den religiösa kraft, som kyrkan innesluter och som till sin oförgängliga kärna utgöres av evangeliet, själv skall sörja för framkallandet av de personligheter, som behövas. En evangelisk kyrka skall veta, att </w:t>
      </w:r>
      <w:r>
        <w:rPr>
          <w:b/>
        </w:rPr>
        <w:t>hon²</w:t>
      </w:r>
      <w:r>
        <w:rPr>
          <w:b w:val="0"/>
        </w:rPr>
        <w:t xml:space="preserve"> har evangeliet och att evangeliet självt erövrar sin plats och sin respekt. </w:t>
      </w:r>
      <w:r>
        <w:rPr>
          <w:b/>
        </w:rPr>
        <w:t>Hon²</w:t>
      </w:r>
      <w:r>
        <w:rPr>
          <w:b w:val="0"/>
        </w:rPr>
        <w:t xml:space="preserve"> sätter sin tro till att det finnes rättfärdighet i historien, och </w:t>
      </w:r>
      <w:r>
        <w:rPr>
          <w:b/>
        </w:rPr>
        <w:t>hon²</w:t>
      </w:r>
      <w:r>
        <w:rPr>
          <w:b w:val="0"/>
        </w:rPr>
        <w:t xml:space="preserve"> är viss, att en sådan successiv seger är trots tidvisa missförhållanden mera värdefull än en seger som vinnes genom en hastig kupp.</w:t>
        <w:br/>
        <w:br/>
        <w:t>Herr talman! Jag skall icke alltför länge fördröja mig vid detta för mig betydelsefulla och intressanta ämne, utan då jag anser, att motionären — vars intentioner i detta stycke jag sätter högt och uppskattar till deras fulla värde — befinner sig på en alldeles felaktig väg, därvid han icke bör på något sätt understödjas, vill jag även däri söka ett skäl att tillstyrka lagutskottets hemställan om avslag å hans motion.</w:t>
      </w:r>
    </w:p>
    <w:p>
      <w:pPr>
        <w:pStyle w:val="Heading2"/>
      </w:pPr>
      <w:r>
        <w:t>4. Karl Ekman (Första kammarens nationella parti, man)</w:t>
      </w:r>
    </w:p>
    <w:p>
      <w:r>
        <w:rPr>
          <w:b w:val="0"/>
        </w:rPr>
        <w:t>Herr greve och talman, 'mina herrar! Jag nödgas begära ordet för att säga ett par ord såsom genmäle till vad den näst föregående ärade talaren yttrade.</w:t>
        <w:br/>
        <w:br/>
        <w:t xml:space="preserve">Han betecknade det såsom något oriktigt, att jag försökt göra en skillnad mellan å ena sidan sådana personer, som endast i yttre rättslig mening tillhörde kyrkan, och å andra sidan sådana, som stode i ett närmare förhållande till </w:t>
      </w:r>
      <w:r>
        <w:rPr>
          <w:b/>
        </w:rPr>
        <w:t>henne²</w:t>
      </w:r>
      <w:r>
        <w:rPr>
          <w:b w:val="0"/>
        </w:rPr>
        <w:t>. Jag nämnde nyss, att skillnaden beror därpå, att i vårt land — där man icke har ett civilregister i vanlig mening, utan där prästerskapet för ett sådant register — alla, som äro bokförda såsom medlemmar av staten, officiellt räknas, så snart intet särskilt undantagsförhållande är konstaterat, såsom också tillhörande den evangeliska kyrkan i vårt land.</w:t>
        <w:br/>
        <w:br/>
        <w:t>Nu är det så, att medlemskapet i kyrkan konstitueras genom dopet, och jag vet icke, att det i hela världen finns någon enda kristen kyrka utom den svenska, som icke erkänner, att inträdet i kyrkan sker genom dopet. Den svenska kyrkan däremot låter medlemskapet i kyrkan konstitueras på annat sätt, nämligen uteslutande genom en civil bokföringsåtgärd. Detta kunde gå för sig, så länge det verkligen förhöll sig så, att stat och kyrka sammanföllo, och detta var ju här i Sverige fallet i äldre tider. Men efter år 1860, då det blev tillåtet att ur den svenska kyrkan utträda till främmande trossamfund, förhåller det sig på annat sätt; och ju mer utvecklingen skrider framåt, desto mera skilja sig staten och kyrkan åt.</w:t>
        <w:br/>
        <w:br/>
        <w:t>Härav följer ett oklart förhållande mellan kyrkan och staten, vilket giver upphov till många tvister, som vi ha att dragas med vid varje riksdag. Så är fallet beträffande t. ex. Järarplatserna i kristendom. I avseende å dessa stadgas i grundlagen en verklig skillnad. Där står nämligen, att lärarplatser i kris-</w:t>
        <w:br/>
        <w:br/>
        <w:t>tendom skola beklädas endast av dem, som bekänna den rena evangeliska läran. Nå, då har man velat göra gällande, att var och en som är kyrkoskriven såsom svensk medborgare måste anses bekänna den rena evangeliska läran och i följd därav vara kompetent till dessa lärarplatser, även om han är baptist eller metodist.</w:t>
        <w:br/>
        <w:br/>
        <w:t>Vidare är det frågan om kyrkoråd och skolråd. Nu är det så, att de icke så få främmande trosbekännare, som finnas i vårt land, helt naturligt äro intresserade av skolväsendet men däremot mindre intresserade av kyrkoväsendet. Såvida de icke utträtt ur kyrkan, få de deltaga i stämmorna och kunna taga del även i beslut, som angå kyrkan. Jag har hört åtskilliga baptister säga, att vad som vid stämmorna intresserar dem är framför allt skolväsendet. Här om dagen förelåg nu en motion, som gick ut därpå, att man icke vidare skulle få ha gemensamt kyrkooch skolråd, såsom man nu har det mångenstädes på landet, utan att kyrkoråd. och skolråd alltid skulle vara skilda åt. Denna motion var avstyrkt av konstitutionsutskottet, men hade jag varit i utskottet närvarande, då denna fråga avgjordes, skulle jag hava tillstyrkt motionen, ty genom ett bifall till densamma skulle nämnda missförhållande ha blivit avhjälpt. Då kunde baptister ha sökt inträde i skolrådet men kunnat låta kyrkorådet vara i fred.</w:t>
        <w:br/>
        <w:br/>
        <w:t>På samma sätt förhåller det sig beträffande valbarhet till kyrkomötet. Kyrkomötet är ju den svenska kyrkans representation i egentlig mening. Där besluter man angående de allra viktigaste förhållanden inom den svenska kyrkan. Där fastställes den svenska evangelisk-luterska kyrkans bekännelse. Men till delta kyrkomöte äro valbara även främmande trosbekännare, som finnas kvar bokförda inom svenska kyrkan. Jag undrar, vad baptisterna eller metodisterna skulle säga, om på deras religiösa konferenser svensk-luterska kyrkans medlemmar ville vara tillstädes och deltaga i besluten. Det tror jag skulle förefalla alla orimligt, och på samma sätt förefaller det mig orimligt, att på ett svenska kyrkans möte främmande trosbekännare, baptister och metodister, skola ha säte och stämma. Hittills har visser. ligen icke någon främmande trosbekännare, varom här är fråga, suttiti kyrkomötet, men vägen är öppen. I kyrkooch skolråd däremot har det förekommit, att baptister erhållit plats.</w:t>
        <w:br/>
        <w:br/>
        <w:t>En annan sak som jag vill påpeka är prästvalen. Vid dessa val hava de svenska kyrkans medlemmar, som i själva verket äro av annan religiös tro, rösträtt. Tänk om svenska kyrkans medlemmar hade rätt att välja präster åt baptister eller metodister! Det vore ju orimligt. Jag menar, att dessa förhållanden äro sådana, att de förr eller senare måste uppklaras. För närvarande har skillnaden mellan stat och kyrka icke kommit så långt, men för varje riksdag kan man säga vidgar sig klyftan, och vi komma slutligen till den punkt, där det är nödvändigt att göra en sådan skillnad, som jag påpekat. Riktigast vore naturligtvis, att de främmande trosbekännarna icke på något sätt</w:t>
        <w:br/>
        <w:br/>
        <w:t>räknades tillhöra svenska kyrkan, men jag har i allt fall pekat på ay. de med den utvägen, att man skulle kalla dem bokförda medlemmar, medlemskap I d. v. s. låta dem ha en till det yttre orubbad ställning i förhålärseada ct: lande till kyrkan men med vissa inskränkta rättigheter och skyl- ”tigheter och digheter till skillnad från sådana, som egentligen äro medlemmar skyldigheter. av svenska kyrkan, däri inlemmade genom dopet.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