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258</w:t>
      </w:r>
    </w:p>
    <w:p>
      <w:r>
        <w:rPr>
          <w:b/>
        </w:rPr>
        <w:t xml:space="preserve">Datum: </w:t>
      </w:r>
      <w:r>
        <w:t>1917-02-21</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Sam Stadener (Liberala samlingspartiet, man)</w:t>
      </w:r>
    </w:p>
    <w:p>
      <w:r>
        <w:rPr>
          <w:b w:val="0"/>
        </w:rPr>
        <w:t>Herr greve och talman, mina herrar! Som rande å kyrko-</w:t>
        <w:br/>
        <w:br/>
        <w:t xml:space="preserve">kammaren behagade finna av utskottets betänkande, har jag jJämförelsevis utförligt framlagt min syn på detta ärende i en reservation. Det kunde därför tyckas överflödigt att vtterligare foga något härtill och detta dess mer, som de två anföranden, kammaren redan lyssnat till, på ett särdeles tjänstaktigt sätt för kammarens ledamöter refererat åtskilligt av innehållet i denna reservation. Den förste ärade talaren har därvid särskilt återgivit det han ansåg utgöra de praktiska svårigheterna vid en förändring med hänsyn till ordförandeskapet i kyrkostämma. Han har emellertid uppfattat reservationen i någon mån felaktigt. Då reservationen framhåller dessa svårigheter, framhållas de icke såsom oövervinneliga, utan såsom varande till Just för att övervinnas. Den andre talaren, herr K. J. Ekman, har särskilt fäst sig vid den delen av reservationen, som innehåller vår kyrkas principiella ställning till denna fråga. Men han har likaledes i någon mån missuppfattat min framställning. Det föreföll nämligen, som han menade, att den luterska kyrkan ägde en kyrkoförfattning, som utgjorde en stel och orörlig rustning, vilken kyrkan en gång för alltid hade iklätt sig och fortfarande måste vara iklädd, även om den skulle hindra </w:t>
      </w:r>
      <w:r>
        <w:rPr>
          <w:b/>
        </w:rPr>
        <w:t>hennes²</w:t>
      </w:r>
      <w:r>
        <w:rPr>
          <w:b w:val="0"/>
        </w:rPr>
        <w:t xml:space="preserve"> rörelse under den tid, som nu är inne. Detta föranleder mig att tillfoga några ord till reservationen.</w:t>
        <w:br/>
        <w:br/>
        <w:t xml:space="preserve">Jag har, som kammaren behagade finna, biträtt utskottets hemställan om utredning, under vilka förutsättningar och förhållanden församling må äga att själv utse ordförande i kyrkostämma. Denna hemställan har utskottet avfattat i så försiktiga, väl avvägda ordalag, att trots min insikt om det ömtåliga i denna fråga, jag dock velat instämma i denna hemställan. Det som varit anledning till min reservation, det som saknats i utskottets motivering, det är, om jag får lov att utöva en så stark kritik mot utskottet, grundligheten i övertänkandet av denna fråga. Man har enligt min mening behandlat den något ytligt, man har nöjt sig med en hänvisning till motionärens framställning och knappt gått därutöver. Denna fråga kan nämligen icke penetreras, om man enbart ställer sig på den kommunala självstyrelsens grund och frågar: hur ser från denna synpunkt sett ordförandeskapet i kyrkostämman ut? Är det rimligt, fortsätter man då gärna, att vi skola vara underkastade denna begränsning i våra kommunala frioch rättigheter, som pastors självskrivenhet som ordförande i kyrkostämman utgör? Man måste enligt min övertygelse se saken även ur den kyrkliga organisationssynpunkten. Visserligen har den luterska kyrkan, som jag redan antytt, icke bestämt sig för någon fast sluten organisationsform en gång för alla. Det har </w:t>
      </w:r>
      <w:r>
        <w:rPr>
          <w:b/>
        </w:rPr>
        <w:t>hon²</w:t>
      </w:r>
      <w:r>
        <w:rPr>
          <w:b w:val="0"/>
        </w:rPr>
        <w:t xml:space="preserve"> aldrig pretenderat på. </w:t>
      </w:r>
      <w:r>
        <w:rPr>
          <w:b/>
        </w:rPr>
        <w:t>Hon²</w:t>
      </w:r>
      <w:r>
        <w:rPr>
          <w:b w:val="0"/>
        </w:rPr>
        <w:t xml:space="preserve"> har icke velat giva någon slutgiltig lösning på det kyrkliga organisationsproblemet utan tvärt om iakttagit en vidsynt obunden-</w:t>
        <w:br/>
        <w:br/>
        <w:t>att kunna skapa för olika tider och olika folk de former, som bäst kunna tjäna det religiösa livet. Det har naturligtvis i vissa</w:t>
        <w:br/>
        <w:br/>
        <w:t>såsom ordföskeden av kyrkans liv varit en svaghet, men det har också varit en rande å kyrkostyrka mången gång, och framför allt har det för de nationer, som</w:t>
        <w:br/>
        <w:br/>
        <w:t>anslutit sig till den luterska kyrkans förkunnelse, varit en oskattbar förmån, ty de ha icke blivit klädda i någon främmande form, som man har påtryckt dessa nationer, utan de ha fått vara och förbliva sig själva. Men vad jag nu säger innebär naturligtvis icke, att denna luterska kyrka har saknat allt vad typ och karaktär heter i fråga om organisationen. Den har som varje samfund i historien utbildat en tradition och skapat sig en egenart, ett kynne. Det är detta, som man bör taga hänsyn till, när det gäller sådana kyrkliga organisationsfrågor, som även den nu föreliggande i sin mån är. Den luterska kyrkan är icke någonting vad som helst. den är icke bitar, som man samlar och löst limmar ihop, bitar, som hopföras, somliga från Wittenberg, andra från Amerika och andra från Rom, och sätter ihop, som det passar en, utan den luterska kyrkan äger en historiskt förvärvad tradition, vilken, även i fråga om organisationen, är någonting inifrån framvuxet, något som skall bevaras i utvecklingen.</w:t>
        <w:br/>
        <w:br/>
        <w:t>Det synes mig möjligt, att konstitutionsutskottet icke riktigt satt sig in i eller observerat denna sida av saken. Enligt min tanke skadar det icke, att lagstiftaren har insikt i dessa ting och att riksdagen vid sina beslut tager hänsyn till det kyrkliga samfundets utbildade egenart. Detta är min uppfattning av det intresse, som från kyrkoorganisatorisk synpunkt tillkommer den föreliggande frågan, och jag tror nästan, att jag i det stycket kan räkna på instämmande från herr von Bahr, även om jag misstänker att jag måste försaka ett sådant instämmande från herr K. J. Ekmans sida.</w:t>
        <w:br/>
        <w:br/>
        <w:t>När jag nu har tänkt, att man kunde verkställa den utredning, varom utskottet hemställt, så har min tankegång lupit i ungefär samma bana, som när riksdagen : för ett eller annat år sedan hos Kungl. Maj:t anhöll om en utredning beträffande ordförandeskap i skolråd. Jag här nämligen tänkt, att om man än skulle komma till den slutsatsen, att pastor i regel bör vara ordförande i kyrkostämman, finns dock utan tvivel fall, då det är tjänligt både för församlingen och pastor själv, att det ordnas på annat sätt med ordförandeskapet både i skolråd och kyrkostämma. Det kan icke nekas, att fall förekomma, då det vore en tjänst mot kyrkan, om</w:t>
        <w:br/>
        <w:br/>
        <w:t>" ordförandeskapet i kyrkostämman kunde lämnas i andra händer än</w:t>
        <w:br/>
        <w:br/>
        <w:t>pastors. Det synes mig, att den, som med eftertänksamhet läser vad utskottet föreslår i sitt slutyrkande, kommer till den uppfattningen, att utskottet önskar undersökning om vad som bör äga rum i dylika av mig nu antydda fall. Det bör ej heller för den, som är kyrkligt sinnad och intresserad, vara svårt att gå med på en sådan hemställan, ty till ju större klarhet man kommit i fråga om de grundsatser, efter vilka det kyrkliga samfundet lever sitt</w:t>
        <w:br/>
        <w:br/>
        <w:t>liv, och ju mera medveten man blir härom, dess mera är man också villig att erkänna, att det finnes undantag, där man måste avvika från dessa grundsatser. Det finnes undantag, som man måste göra just för att bevara regeln vid fortsatt helg och verkan. Om man icke inrymmer detta, så riskerar man mycket mera än man någonsin tänker sig på förhand. Man riskerar till sist alltsammans.</w:t>
        <w:br/>
        <w:br/>
        <w:t>Jag vill hemställa till kammaren om bifall till den mycket försiktiga hemställan, som konstitutionsutskottet har gjort. Jag gör det med en, försåvitt jag förstår, klar uppfattning av iärendets kyrkliga betydelse och med önskan, att traditionen skall bevaras på detta område, men också med den önskan, att vår lagstiftning skall ha en sådan elasticitet, som det levande livet kräver. Det är min övertygelse att genom åtgärder, som jag nu ifrågasatt, säkrast och längst åt det kyrkliga samfundet bevaras den organisation, som motsvarar dess egna grundsatser, och som förtjänar att högt värderas och bevaras.</w:t>
      </w:r>
    </w:p>
    <w:p>
      <w:pPr>
        <w:pStyle w:val="Heading2"/>
      </w:pPr>
      <w:r>
        <w:t>2. Valerius Olsson (Första kammarens nationella parti, man)</w:t>
      </w:r>
    </w:p>
    <w:p>
      <w:r>
        <w:rPr>
          <w:b w:val="0"/>
        </w:rPr>
        <w:t>Herr talman! Utskottet har ånsett sig »böra påpeka, att sedan ärendet senast var föremål för riksdagens behandling, riksdagen uttalat sig i ett med föreliggande fråga mycket närbesläktat ämne, i det att den vid 1914 års förra riksdag avlät en skrivelse till Kungl. Maj:t med anledning av väckt motion angående utredning och förslag om rätt för församling att själv utse ordförande 1 skolråd».</w:t>
        <w:br/>
        <w:br/>
        <w:t>Då jag vid 1914 års förra riksdag var med bland dem, som gåvo sin röst åt detta skrivelseförslag, anser jag mig böra inlägga en gensaga mot utskottets försök att i den utgång frågan om pastors självskrivenhet som ordförande i skolråd då fick, skapa ett stöd för nu föreliggande motion cm upphävande av pastors självskrivenhet som ordförande i kyrkostämma. Utskottet säger, att dessa frågor äro mycket nära besläktade. För min del kan jag icke alls finna att de äro mycket närbesläktade, knappast besläktade. Det synes mig, som om det stöd för motionen, som utskottet härutinnan sökt skaffa, vore endast skenbart. Ätminstone var det så, att jag, och som jag tror flera med mig, röstade för en skrivelse år 1914 bl. a. därför att vi ansågo, att pastor bör befrias från ovillkorlig skyldighet att åtaga sig uppdrag, som icke äro av egentlig kyrklig art. Ordförandeskapet i skolrådet är icke av denna art. Däremot är ordförandeskap i kyrkostämma ett sådant uppdrag, som också herr Stadener i sin reservation påvisat.</w:t>
        <w:br/>
        <w:br/>
        <w:t>Men det kan medgivas, att mellan skrivelsen 1914 och nu föreliggande fråga finnes ett visst samband bestående däri, att skrivelsen år 1914 synes draga med sig som sin konsekvens ett krav på en undersökning, huruvida icke frågor rörande folkskoleväsendet böra undantagas från kyrkostämmas handläggning och överflyttas till zommunalstämma. Huruvida en sådan anordning står i överensstämmelse med motionärens önskningar och konstitutionsutskottets ställning till frågan om pastors självskrivenhet som ordförande i</w:t>
        <w:br/>
        <w:br/>
        <w:t>dan vet, att en sådan anordning från många kyrkligt intresserades sida icke skulle möta något motstånd. Detta är för övrigt helt na-</w:t>
        <w:br/>
        <w:br/>
        <w:t>såsom ordföturligt, då första steget i en sådan riktning redan tagits genom folkrande å kyrkoskoleväsendets överflyttande till stadsfullmäktige i vissa städer. De</w:t>
        <w:br/>
        <w:br/>
        <w:t>farhågor, som herr Ekman nyss uttalade i fråga om konsekvenserna av en sådan anordning, kan jag för min del icke hysa. Då detta emellertid är en fråga, som faller utanför nu föreliggande motions ram, har jag, hur mycket jag än tilltalats av vissa delar i herr Stadeners reservation, icke kunnat instämma i hans slutyrkande utan anhåller att få yrka avslag såväl å utskottets hemställan som den i ämnet. väckta motionen.</w:t>
      </w:r>
    </w:p>
    <w:p>
      <w:pPr>
        <w:pStyle w:val="Heading2"/>
      </w:pPr>
      <w:r>
        <w:t>3. Karl Ekman (Första kammarens nationella parti, man)</w:t>
      </w:r>
    </w:p>
    <w:p>
      <w:r>
        <w:rPr>
          <w:b w:val="0"/>
        </w:rPr>
        <w:t xml:space="preserve">Då jag nyss utvecklade min uppfattning av den föreliggande frågans principiella innebörd, så hänförde jag mig icke, såsom herr Stadener tycktes ha uppfattat det, i någon mån till herr Stadeners reservation. Det var i fråga om de praktiska svårigheterna, som jag åberopade vad herr Stadener uttalat i sin reservation. Men även herr Stadeners uttalanden beträffande den principiella sidan av saken tyckas mig leda till ett avslag på utskottets hemställan. Han säger nämligen, på sidan 10, att denna fråga berör kännbart ett icke oväsentligt led uti det nationella kyrkliga samfundets organisation. »Det är ingen tillfällighet», säger han, »att ordförandeskapet å kyrkostämman tillkommit församlingens pastor». Det råder ju visserligen, såsom han framhåller, »inom den luterska kyrkan ingen bundenhet till någon viss kyrkoförfattning; men till de grundsatser, vilka inom </w:t>
      </w:r>
      <w:r>
        <w:rPr>
          <w:b/>
        </w:rPr>
        <w:t>henne²</w:t>
      </w:r>
      <w:r>
        <w:rPr>
          <w:b w:val="0"/>
        </w:rPr>
        <w:t xml:space="preserve"> ända från </w:t>
      </w:r>
      <w:r>
        <w:rPr>
          <w:b/>
        </w:rPr>
        <w:t>hennes²</w:t>
      </w:r>
      <w:r>
        <w:rPr>
          <w:b w:val="0"/>
        </w:rPr>
        <w:t xml:space="preserve"> tidigaste historia vunnit burskap och hävd, måste helt säkert räknas uppfattningen, att kyrkoherde eller dennes prästerlige ersättare jämväl är församlingsföreståndare. Andra religiösa samfund hava tänkt annorlunda samt gjort församlingsföreståndarskapet ambulerande mellan präst och lekman eller undantagsvis till och med förbehållit det åt lekmännen». — Den sistnämnda anordningen torde närmast vila på en frireligiös uppfattning, som icke hör hemma hos oss. — »Men», säger vidare reservanten, »den luterska kyrkan, för vilken lekmännens befogenhet att rådgöra och besluta uti kyrkans angelägenheter utgör en klar och obestridd grundsats, har vid sidan härom ansett, att församlingsföreståndarskapet ingår uti den prästerliga kallelsens uppgift» — det sammanfaller ju med vad jag yttrade — »samt att den prästerliga utbildningen därför bör åsyfta jämväl utbildning till församlingsföreståndare». Det åligger församlingens pastor, säger han, »att vara ordförande i de institutioner, som handlägga församlingens angelägenheter. Om en rubbning av denna djupt grundade nationella och kyrkliga tradition befinnes nöd vändig och nyttig, så måste den i varje fall företagas med stor varsamhet». Här erkänner således herr Stadener, att det är fråga om en väsentlig rubbning av en hos oss sedan länge rådande, djupt grundad nationell och kyrklig tradition; men det är just detta som är</w:t>
        <w:br/>
        <w:br/>
        <w:t>det betänkliga, att vad som nu föreslås strider mot den uppfatt- Ang. ifrågasatt ning, som är den gällande inom vår evangelisk-luterska kyrka. "Dastors själv Jag vidhåller således, herr talman, mitt yrkande. akrivenhet såsom ordfö- F 5 ; . rande å kyrko- Herr Rooth: Herr greve och talman! Jag vet icke, att nåsfämmeas</w:t>
        <w:br/>
        <w:br/>
        <w:t>gonting förekommit, som kan giva kammaren anledning att från- = (Forts.) träda den ståndpunkt, som kammaren tidigare intagit i denna fråga.</w:t>
        <w:br/>
        <w:br/>
        <w:t>De ansträngningar, som gång efter annan göras för att få bort pastor</w:t>
        <w:br/>
        <w:br/>
        <w:t>såsom självskriven ordförande i kyrkostämman, kunna endast vara</w:t>
        <w:br/>
        <w:br/>
        <w:t>ägnade att undergräva kyrkans ställning. Jag anser icke detta önskvärt, och därför ber jag, herr greve och talman. att få yrka</w:t>
        <w:br/>
        <w:br/>
        <w:t>avslag å såväl utskottets hemställan som den 1 ärendet väckta 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258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