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290</w:t>
      </w:r>
    </w:p>
    <w:p>
      <w:r>
        <w:rPr>
          <w:b/>
        </w:rPr>
        <w:t xml:space="preserve">Datum: </w:t>
      </w:r>
      <w:r>
        <w:t>1918-04-06</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Anders Pers (Liberala samlingspartiet, man)</w:t>
      </w:r>
    </w:p>
    <w:p>
      <w:r>
        <w:rPr>
          <w:b w:val="0"/>
        </w:rPr>
        <w:t>Herr talman! Jag vill fästa kammarens uppmärksamhet på att det insmugit sig en felaktighet i den kartong, som vi fått oss tilldelad med rättelse i utskottets utlåtande vid denna punkt. Utskottets yttrande börjar nämligen ett stycke högre upp. än vad trycket vid sidan synes utvisa. Det har sin vikt därför. att såvitt jag fattat utskottet rätt det varit fullständigt ense med re-</w:t>
        <w:br/>
        <w:br/>
        <w:t>servanterna därom, att ifrågavarande anslag skulle förändras till” förslagsanslag ifrån att vara begränsat.</w:t>
        <w:br/>
        <w:br/>
        <w:t>Vidare vill jag säga, att utskottet naturligtvis noga prövat de skäl, som förelegat, innan det tillstyrkt höjning av ett av Kungl. Maj:t begärt anslag, men utskottet har också ansett, att sådana skäl funnits. Det är ett statsintresse av mycket stor betydelse, att dessa skolor bliva väl besökta, att de ej gå tillbaka i frekvens. Det är något, som bör framgå alldeles tydligt i dessa dagar, när man över hela landet är 1 så hög grad beroende av lantbefolkningens medborgerliga känsla och lojalitet, och ej blott det, utan ock av den anda och energi 1 fråga om uppgiften, som man önskar, att lantbefolkningen skall vara besjälad av. När man då vet, att de ekonomiska förhållandena för dessa såväl som andra befolkningslager ändrat sig högst betydligt, så har man funnit, att en förbättring på den punkten ej borde uraktlåtas, utan vidtagas. Det är sant, att en del av befolkningen fått sin inkomst höjd, men lyckligtvis ha dessa skolor i allt högre grad dragit elever från fattiga hem, i vissa trakter från småbrukare och sådana småbrukare, som delvis äro beroende av skogsarbeten och sådant. Ungdomen i dessa befolkningslager får i allmänhet själv taga initiativet till sin skolgång, och den får därför i hög grad sörja för sig själv i skolorna. Hemmet har ej råd och har ofta ej förstånd att understödja dem i skolorna. När så är förhållandet framgår det som nödvändigt att hjälpa dessa ungdomar att kunna draga sig fram. Kostnaden är nu högre och lockelsen från andra håll är också högre. Man må kalla det konkurrens eller ej, men det är verkligen så, att tillfälle till god förtjänst på andra håll drager ungdomen från skolorna, minskar lusten hos dem att besöka dessa, och då böra vi i någon mån motverka detta. Det tror jag ej, att man kan komma ifrån. De konsekvenser, som skulle följa härav, vore närmast, att lantmannaskolorna komme i samma predikament, och jag är övertygad om, att jordbruksutskottet och riksdagens kamrar också skola taga den konsekvensen. Den är, föreställer jag mig, önskvärd och riktig. Men det kan befaras, säger man, att konsekvenserna skulle utsträckas vidare. Ja, riksdagen får väl här som annorstädes pröva och se, och äro konsekvenserna nödvändiga. får man taga dem. Men i fråga om t. ex. dessa stipendier vid folkskoleseminarierna är det dock så, att en seminarieelev har en säker utsikt att bli placerad på en avlönad plats, och det är nu all utsikt till, att avlöningen skall bliva sådan, att de skola kunna försörja sig på den. Men de, som gå till lantmannaskolorna eller folkhögskolorna, hava ingen sådan plats i beredskap. De gå ut i den privata verksamheten, och de ekonomiska möjligheterna ligga i det ovissa. Även ur den synpunkten tror jag. att statsutskottets hemställan är välgrundad.</w:t>
        <w:br/>
        <w:br/>
        <w:t>5 ER tillåter mig alltså att hemställa om bifall till utskottets örslag.</w:t>
        <w:br/>
        <w:br/>
        <w:t xml:space="preserve">hamn för blinda, till </w:t>
      </w:r>
      <w:r>
        <w:rPr>
          <w:b/>
        </w:rPr>
        <w:t>lärarinna³</w:t>
      </w:r>
      <w:r>
        <w:rPr>
          <w:b w:val="0"/>
        </w:rPr>
        <w:t xml:space="preserve"> vid förskola, till musiklärare och gymnastiklärare vid institutet ävensom till arbetslärare, att utgå 1 huvudsaklig överensstämmelse med i kungörelse i ämnet den 11 december 1917 angivna grunder, med rätt för Kungl. Maj:t att utfärda de närmare föreskrifter, som för den tillfälliga löneförbättringens utgående till rektorer och lärare vid blindundervisningsanstalterna kunde befinnas erforderliga.</w:t>
      </w:r>
    </w:p>
    <w:p>
      <w:pPr>
        <w:pStyle w:val="Heading2"/>
      </w:pPr>
      <w:r>
        <w:t>2. Karl August Nilson (Liberala samlingspartiet, man)</w:t>
      </w:r>
    </w:p>
    <w:p>
      <w:r>
        <w:rPr>
          <w:b w:val="0"/>
        </w:rPr>
        <w:t>I detta ärende, som rör sig om en tillfällig löneförbättring åt lärarne vid blindundervisnings- | anstalterna, har jag föreslagit en något förändrad grund för denna löneförbättring, så nämligen, att arbetslärarne vid dessa abnormskolor skulle räknas till samma klass, som de s. k. ämneslärarne. Vad som nu tillämpas tillkom under förra året på grund av framställning från folkskolöverstyrelsen, som föreslog en löneförbättring för folkskoloch småskollärare, vilken skulle gälla även för abnormlärarne, och därvid jämnställde man abnormlärarne med folkskoloch småskollärarne på så sätt, att ämneslärarne Jämnställdes med folkskoilärarne och arbetslärarne med småskollärarne. Härigenom tillkom nu en ny beräkningsgrund, som ej förut funnits och som knappast heller kan i fortsättningen vara tillrådlig. Att ämneslärarne jämnställas med folkskollärarne, vad lön och extra lönetillägg beträffar, därom är ju ingenting att säga, men dessa arbetslärare, som ju i stort sett också äro ämneslärare, —- mellan dessa ämneslärare och arbetslärarne lärer man strängt taget knappast kunna göra någon åtskillnad — dessa arbetslärare synas mig, då man jämställer dem med småskollärare, komma i en alltför ogynnsam ställning. Av småskollärare finnes det ju i vårt land egentligen ej annat än småskollärarinnor, som ju i de flesta fall äro utan familj, ogifta, men dessa arbetslärare vid abnormskolorna äro ju dels familjeförsörjare, dels äldre personer och dels personer, som för att kunna taga en sådan plats måste utbilda sig betydligt mycket mera, än en småskollärarinna behövt göra.</w:t>
        <w:br/>
        <w:br/>
        <w:t>Nu förhåller det sig ju så, att på grund av särskild framställning från Kungl. Maj:t även dessa abnormlärare kommit 1 åtnjutande av krigstidstillägg och krigstidshjälp. För 1918 alltså verkar alltså ej förra årets riksdagsbeslut beträffande dessa extra lönetillägg på något sätt, då abnormlärarne i stället för lönetilläggen fått krigstidshjälp. Det är möjligt, att förhållandet blir detsamma nästa år, att alltså detta extra lönetillägg ej kommer att utgå, men det har redan meddelats, att även dessa abnormlärares ordinarie löneförhållanden kanske nästa år komma att undergå en reglering. Och då skulle det ju vara illa, om dessa arbetslärare fortfarande skulle nödgas stå i denna särklass, där de väl endast genom en ren tillfällighet blivit ställda. Jag tror, att varken utskottet eller folkskolöverstyrelsen tänkt sig, att denna placering skulle bli så långvarig, utan räcka endast ett enda år, i vilket fall den ju ej haft så stor betydelse, men allt eftersom de här extra förhållandena bli långvariga, är det givet, att det för dessa lärare med familj verkar</w:t>
        <w:br/>
        <w:br/>
        <w:t>kanske betungande att få ett mindre lönetillägg än de efter mitt Anslag för</w:t>
        <w:br/>
        <w:br/>
        <w:t>förmenande rävbteligen borde ha. Jag har redan förut påpekat, att det är svårt att göra skillnad</w:t>
        <w:br/>
        <w:br/>
        <w:t>mellan arbetslärare och ämneslärare. Det behöves ingen examen len vid blindför vare sig den ena eller den andra gruppen. Nu sitter t. ex. en undervisnings-</w:t>
        <w:br/>
        <w:br/>
      </w:r>
      <w:r>
        <w:rPr>
          <w:b/>
        </w:rPr>
        <w:t>kvinna¹</w:t>
      </w:r>
      <w:r>
        <w:rPr>
          <w:b w:val="0"/>
        </w:rPr>
        <w:t xml:space="preserve"> som ämneslärare och har ingen annan examen, än att </w:t>
      </w:r>
      <w:r>
        <w:rPr>
          <w:b/>
        </w:rPr>
        <w:t>hon²</w:t>
      </w:r>
      <w:r>
        <w:rPr>
          <w:b w:val="0"/>
        </w:rPr>
        <w:t xml:space="preserve"> gått igenom en folkskola eller elementarskola. </w:t>
      </w:r>
      <w:r>
        <w:rPr>
          <w:b/>
        </w:rPr>
        <w:t>Hon²</w:t>
      </w:r>
      <w:r>
        <w:rPr>
          <w:b w:val="0"/>
        </w:rPr>
        <w:t xml:space="preserve"> undervisar dels 1 handarbete, dels i skrivning, men kallas ämneslärare och får som</w:t>
        <w:br/>
        <w:br/>
        <w:t>' sådan ett högre lönetillägg än den gifte arbetsläraren får, som har</w:t>
        <w:br/>
        <w:br/>
        <w:t xml:space="preserve">familj att försörja och som har lika stor utbildning som denna </w:t>
      </w:r>
      <w:r>
        <w:rPr>
          <w:b/>
        </w:rPr>
        <w:t>kvinnliga¹</w:t>
      </w:r>
      <w:r>
        <w:rPr>
          <w:b w:val="0"/>
        </w:rPr>
        <w:t xml:space="preserve"> ämneslärarinna. En musiklärare vid här ifrågavarande institut har ej större avlöning än en arbetslänare, men han går efter en högre klass och får därför högre lönetillägg.</w:t>
        <w:br/>
        <w:br/>
        <w:t>Jag har velat lägga fram denna sak på det att åtminstone då frågan om lönereglering kommer upp på nytt dessa lärare ej må bli undanskjutna till den särställning, som de nu fått och som ej kan försvaras. Nu kan jag, herr talman, ej tänka på att vinna något med ett yrkande i detta fall, och jag ämnar ej heller framställa något sådant. Jag har endast velat till utskottet och departementschefen framföra en önskan att vid en kommiande reglering frågan, såsom utskottet självt säger, må komma upp till förnyad utredning. Av den anledningen har jag nu framlagt saken, som jag gjort.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290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