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1458</w:t>
      </w:r>
    </w:p>
    <w:p>
      <w:r>
        <w:rPr>
          <w:b/>
        </w:rPr>
        <w:t xml:space="preserve">Datum: </w:t>
      </w:r>
      <w:r>
        <w:t>1920-03-20</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Söderhielm (Lantmanna- och borgarepartiet inom andrakammaren, man)</w:t>
      </w:r>
    </w:p>
    <w:p>
      <w:r>
        <w:rPr>
          <w:b w:val="0"/>
        </w:rPr>
        <w:t xml:space="preserve">Herr talman, mina herrar! Här föreligger ånyo ett fall av den långa raden framställningar om understöd till genom olycksfall under tjänstgöring omkomna personers efterlevande, som riksdagen under de senare åren haft att taga befattning med. Det rör sig nu om en gammal </w:t>
      </w:r>
      <w:r>
        <w:rPr>
          <w:b/>
        </w:rPr>
        <w:t>mor²</w:t>
      </w:r>
      <w:r>
        <w:rPr>
          <w:b w:val="0"/>
        </w:rPr>
        <w:t xml:space="preserve">, som gjort framställning om att erhålla skäligt understöd under återstoden av sitt liv på grund av att </w:t>
      </w:r>
      <w:r>
        <w:rPr>
          <w:b/>
        </w:rPr>
        <w:t>hennes²</w:t>
      </w:r>
      <w:r>
        <w:rPr>
          <w:b w:val="0"/>
        </w:rPr>
        <w:t xml:space="preserve"> son omkommit under flygning. När då det skäliga beloppet skuile bestämmas, hade man icke några fastställda grunder att gå efter, utan statskontoret satte sig att undersöka, huru högt </w:t>
      </w:r>
      <w:r>
        <w:rPr>
          <w:b/>
        </w:rPr>
        <w:t>fru²</w:t>
      </w:r>
      <w:r>
        <w:rPr>
          <w:b w:val="0"/>
        </w:rPr>
        <w:t xml:space="preserve"> Netzler var taxerad, och som det visade sig, att </w:t>
      </w:r>
      <w:r>
        <w:rPr>
          <w:b/>
        </w:rPr>
        <w:t>hon²</w:t>
      </w:r>
      <w:r>
        <w:rPr>
          <w:b w:val="0"/>
        </w:rPr>
        <w:t xml:space="preserve"> var taxerad till 1,500 kronors inkomst för år 1917 ansågs </w:t>
      </w:r>
      <w:r>
        <w:rPr>
          <w:b/>
        </w:rPr>
        <w:t>hennes²</w:t>
      </w:r>
      <w:r>
        <w:rPr>
          <w:b w:val="0"/>
        </w:rPr>
        <w:t xml:space="preserve"> ekonomiska ställning »icke vara alltför bekymmersam», och på den grund föreslogs en pension åt </w:t>
      </w:r>
      <w:r>
        <w:rPr>
          <w:b/>
        </w:rPr>
        <w:t>henne²</w:t>
      </w:r>
      <w:r>
        <w:rPr>
          <w:b w:val="0"/>
        </w:rPr>
        <w:t xml:space="preserve"> av 500 kronor årligen! :</w:t>
        <w:br/>
        <w:br/>
        <w:t>Nu förhåller det sig ju så, att det över huvud taget icke finns någon ledning för bestämmande av dessa pensioner åt flygares efterlevande. För några år sedan avlämnades visserligen ett sakkunnigbetänkande rörande flygväsendet och därmed förknippade ekonomiska frågor, men av åtskilliga skäl, på vilka jag icke här behöver</w:t>
        <w:br/>
        <w:br/>
        <w:t xml:space="preserve">inlåta mig, föreligger icke något beslut med anledning av detta be- Ang. pension tänkande. Emellertid föreslogs det där, att ett sådant fall som detta, år avlidne till efterlevande far eller </w:t>
      </w:r>
      <w:r>
        <w:rPr>
          <w:b/>
        </w:rPr>
        <w:t>mor²</w:t>
      </w:r>
      <w:r>
        <w:rPr>
          <w:b w:val="0"/>
        </w:rPr>
        <w:t xml:space="preserve">, eller om båda levde, till dem båda p. &amp; 4. Netzgemensamt, skulle utgå ett belopp av 2,000 kronor. Det vill ju också lers </w:t>
      </w:r>
      <w:r>
        <w:rPr>
          <w:b/>
        </w:rPr>
        <w:t>moder²</w:t>
      </w:r>
      <w:r>
        <w:rPr>
          <w:b w:val="0"/>
        </w:rPr>
        <w:t>. synas, som om flygtjänstens beskaffenhet vore av den natur, att den = (Forts.) borde värdesättas något annorlunda än den vanliga fredliga tjänstgöringen.</w:t>
        <w:br/>
        <w:br/>
        <w:t xml:space="preserve">Nu har emellertid Kungl. Maj:t icke ansett sig kunna frångå, förmodar jag, statskontorets uttalande, och utskottet har i sin ordning följt den kungl. propositionen i ämnet och därför icke velat giva sitt bifall till vad de två motionärerna föreslagit, nämligen att </w:t>
      </w:r>
      <w:r>
        <w:rPr>
          <w:b/>
        </w:rPr>
        <w:t>fru²</w:t>
      </w:r>
      <w:r>
        <w:rPr>
          <w:b w:val="0"/>
        </w:rPr>
        <w:t xml:space="preserve"> Netzler skulle få den 2,000 kronors pension, som de sakkunniga ansett lämpligt. Man kan väl över huvud knappast undertrycka den känslan, när man läser detta utskottsbetänkande, och ser, vilka pensioner som där föreslås i de olika fallen, att man varit tämligen okänslig för penningens faktiska värdefall. Det är ju nästan beklämmande att se, huru låga belopp, som av utskottet över lag förordats. Till de särskilda omständigheter, varunder löjtnant Netzler satt livet till, har man tydligen icke tagit någon hänsyn.</w:t>
        <w:br/>
        <w:br/>
        <w:t>Det är naturligtvis, det inser jag, ej stor utsikt för mig att vinna något med ett yrkande om det högre beloppet, men jag kan icke underlåta att här uttrycka den åsikten, att det skulle hava varit mycket önskvärdt, om utskottet till vad som nu sagts beträffande angelägenheten, att enhetliga grunder kunde genomföras vid beviljande av understöd åt genom olyckshändelse vid flygning omkomnas efterlevande, därjämte inryckt en passus, som kunde ge stöd för, att vid dessa pensioners tillmätande hänsyn också toges till de med flygverksamheten förenade särskilda riskerna och omständigheterna.</w:t>
        <w:br/>
        <w:br/>
        <w:t>Herr talman! Jag ber att få yrka bifall till motionärernas förslag.</w:t>
      </w:r>
    </w:p>
    <w:p>
      <w:pPr>
        <w:pStyle w:val="Heading2"/>
      </w:pPr>
      <w:r>
        <w:t>2. Emil Kristensson (Socialdemokraterna, man)</w:t>
      </w:r>
    </w:p>
    <w:p>
      <w:r>
        <w:rPr>
          <w:b w:val="0"/>
        </w:rPr>
        <w:t>Herr talman! Här föreligger för ovanlighetens skull ett enhälligt utlåtande från bankoutskottet beträffande avstyrkande av en motion. Redan detta förhållande torde för kammaren klargöra, att läget icke är sådant, att de, som närmast haft att behandla denna pension, kunnat gå med på bifall till vad i motionen påyrkas. Det skulle ju strida emot de beslut, som riksdagen i liknande fall under senare åren fattat, och vidare framgår det av utlåtandet, att här visserligen har av tillkallade sakkunniga avgivits ett förslag beträffande pensioner åt efterlevande till personer, som omkommit genom flygolycka under tjänstgöring; men regeringen har hittills icke ansett, att detta betänkande av de sakkunniga vore sådant, att det kunde läggas till grund för en regeringsproposition, och vid sådant förhållande torde det näppeligen gå för sig, att riksdagen på förhand ansluter sig till de grunder, som de fakkonniga uttalat, vilket skulle bli fallet, om man bifölle denna motion.</w:t>
        <w:br/>
        <w:br/>
        <w:t xml:space="preserve">Ang. pension Att nu föregripa den ytterligare utredning, som i detta fall Gene tydligen är av behovet påkallad och som utskottet också understru- FP. 0. 4. Netz kit, att man snarast möjligt skulle få till stånd, kan icke heller vara lers </w:t>
      </w:r>
      <w:r>
        <w:rPr>
          <w:b/>
        </w:rPr>
        <w:t>moder²</w:t>
      </w:r>
      <w:r>
        <w:rPr>
          <w:b w:val="0"/>
        </w:rPr>
        <w:t>. lämpligt. Det synes i alla fall, som om motionärerna borde vara (Forts.) tacksamma mot utskottet, att det i alla fall så till vida tagit positiv ståndpunkt till frågan, att det inryckt dessa ord i motiveringen. Här föreligger nu vidare ett principuttalande av statskontoret på sid. 8 i betänkandet, och om herrarna läsa igenom, vad statskontoret där yttrar, så tror jag, att herrarna bli ännu mera övertygade om, att utskottet härvidlag intagit en riktig ståndpunkt. Jag ber att få yrka bifall till utskottets hemställan.</w:t>
      </w:r>
    </w:p>
    <w:p>
      <w:pPr>
        <w:pStyle w:val="Heading2"/>
      </w:pPr>
      <w:r>
        <w:t>3. Oscar Johanson (Folkpartiet, man)</w:t>
      </w:r>
    </w:p>
    <w:p>
      <w:r>
        <w:rPr>
          <w:b w:val="0"/>
        </w:rPr>
        <w:t>Herr talman! I denna motion ha vi föreslagit, att riksdagen måtte ingå till Kungl. Maj:t med begäran om skyndsam utredning i syfte att åvägabringa billigare tandvård.</w:t>
        <w:br/>
        <w:br/>
        <w:t>Närmaste anledning till, att denna vår begäran framkommit, är de förhållanden, under vilka vi nu befinna oss. Allting har stigit oerhört i pris, och tandläkarnas arvoden ha skruvats upp i höjden rätt avsevärt. Detta gör, att en stor del och för övrigt kanske den största :procent av Sveriges folk nu icke har råd att bestå sig med den tandvård, som behöves, på grund av de höga arvodena. Vi sysselsätta oss här i riksdagen oupphörligt med att tillvarataga materiella värden och intressen, men hälsan är väl ändå den största gåva, som mänskor äga. Nu tillkommer härvidlag, att uttalanden gjorts vid flerfaldiga tillfällen, att tandvården har en ofantligt stor betydelse, när det gäller folkhälsan i allmänhet. Då är det också helt visst riksdagens plikt att försöka göra något även på detta område. Ledamöterna inom utskottet, som behandlat vår motion, tyckas ha varit av samma uppfattning i stort sett som motionärerna, ty de uttala här i det första stycket av sitt betänkande: »Behovet av förbättrad tandvård särskilt för den mindre bemedlade befolkningen i vårt land har redan länge gjort sig gällande och har blivit allt mer kännbart, sedan de i samband med den rådande dyrtiden högst avsevärt ökade tandläkararvodena för den stora allmänheten omöjliggjort anlitande av läkarvård i erforderlig utsträckning. Åstadkommandet av billigare och därmed lättillgängligare tandvård är därför ett önskemål, som utskottet i likhet med motionärerna till fullo behjärtar.»</w:t>
        <w:br/>
        <w:br/>
        <w:t>Medicinalstyrelsen har också yttrat sig över vår motion, och den ställer sig sympatisk till själva saken och säger, att frågan utan tvivel är av stor betydelse i hygieniskt avseende. Sålunda tyckas vi vara eniga om, att ett verkligt behov föreligger, att det göres något på detta område. Men när vi då komma till frågan, hur och på vad sätt vi skola kunna åstadkomma någon hjälp, så stöta vi på de största svårigheterna.</w:t>
        <w:br/>
        <w:br/>
        <w:t>Utskottet motiverar sitt avslagsyrkande med, att motionärerna i sin motion icke kommit fram med några riktlinjer, varefter denna utredning skulle läggas, och icke heller lämnat några direktiv för densamma. Jag känner på mig, att om utskottets årade ordförande tager till orda i den här frågan, kommer han bl. a. att säga ungefär det, att saken är behjärtansvärd, men som motionärerna icke givit</w:t>
        <w:br/>
        <w:br/>
        <w:t>något uppslag, hur en dylik utredning skall läggas, så måste utskottet yrka avslag på motionen. Jag skulle nu först som sist vilja svara på en sådan invändning genom att instämma i vad en talare sade för några dagar sedan, då ett ärende behandlades här i kammaren. Han sade då nämligen bl. a., att det är icke lätt för en moticnär att åstadkomma en utredning, som blir tillfredsställande. Däremot vore det lämpligt, om riksdagen såsom motionärerna här begärt, hänsköte frågan till Kungl. Maj:t, ty Kungl. Maj:t har ju alltid organ och resurser att kunna åstadkomma, vad icke en enskild motionär kan i en sådan fråga som denna.</w:t>
        <w:br/>
        <w:br/>
        <w:t>Den största svårigheten härvidlag är emellertid, att det råder stor brist på tandläkare. Den saken är nu föremål för utredning, epligt vad som framgår av utskottets behandling av denna fråga, och det är meningen, att det nuvarande tandläkarinstitutet skall utvidgas, så att vi på den vägen kunna utbilda flera tandläkare. Men helt säkert kommer detta att dröja långt om, kanske under en oöverskådlig framtid, så att på den vägen tror jag för min del icke, att vi kurna få någon verklig hjälp på detta område, vilket vi nu önska, och som vi så väl behöva. ;</w:t>
        <w:br/>
        <w:br/>
        <w:t>Därför skall jag be att få hänvisa till ett uppslag, som professor Jundell gjort i den här frågan; ty jag tänker mig, att denna fråga kommer att bli föremål för diskussion och behandling samt möjligen återkommer till riksdagen någon annan gång, även om den nu blir avslagen i dag. Professor Jundell har givit ett uppslag, som står att läsa i Svensk Läkartidning, vilken jag tyvärr icke har tillhands för tillfället, men jag ber att med några ord få skissera ungefär vad hans förslag innebär.</w:t>
        <w:br/>
        <w:br/>
        <w:t xml:space="preserve">Han vill, att vi skola försöka organisera tandläkarvården och vad dit hör på samma sätt, som den allmänna sjukvården nu är organiserad. Han tänker sig då, att staten skulle inrätta jämte det tandläkarinstitut, som nu finnes, ytterligare ett. I detsamma skulle kraven på inträdesfordringarna flyttas ner, så att realskoleexamen eller examen från åttaklassigt läroverk skulle berättiga till inträde i detta tandläkarinstitut. Han tänkte sig därjämte, att det skulle huvudsakligen intagas </w:t>
      </w:r>
      <w:r>
        <w:rPr>
          <w:b/>
        </w:rPr>
        <w:t>kvinnliga¹</w:t>
      </w:r>
      <w:r>
        <w:rPr>
          <w:b w:val="0"/>
        </w:rPr>
        <w:t xml:space="preserve"> elever därstädes; och jag tror för min del, att detta är ett gott uppslag, ty </w:t>
      </w:r>
      <w:r>
        <w:rPr>
          <w:b/>
        </w:rPr>
        <w:t>kvinnor¹</w:t>
      </w:r>
      <w:r>
        <w:rPr>
          <w:b w:val="0"/>
        </w:rPr>
        <w:t xml:space="preserve"> äro för övrigt bäst lämpade på sjukvårdens område och torde också vara mycket väl lämpade, när det gäller tandvården. </w:t>
      </w:r>
      <w:r>
        <w:rPr>
          <w:b/>
        </w:rPr>
        <w:t>Kvinnor¹</w:t>
      </w:r>
      <w:r>
        <w:rPr>
          <w:b w:val="0"/>
        </w:rPr>
        <w:t xml:space="preserve"> mellan 20 och 35 år skulle vinna inträde i det föreslagna tandläkarinstitutet, och kurserna skulle bli ettåriga. De, som gingo ut därifrån, skulle dock icke få bedriva självständig tandläkarvård, utan de skulle arbeta under överinseende av en tandläkare. Man har också tänkt sig, att man skulle ordna saken på ett särskilt sätt ute på landsbygden, där behovet på detta område många gånger är mycket stort. Man skulle där för vissa områden, bestående av flera kommuner, eller för folkrika trakter, inrätta en eller flera tandkliniker, där dessa biträdande tandläkare skulle arbeta under överinseende av en tandläkare. Detta uppslag tror jag för min del är mycket gott, och det är allt skäl i, att denna tanke tages upp vid den utredning, som nu</w:t>
        <w:br/>
        <w:br/>
        <w:t>pågår. Därigenom skulle också en annan fråga lösas lättare, nämligen frågan om skolbarnens tandvård. Sakkunniga, som ha avgivit sitt betänkande i den frågan, påvisa det stora behovet av skolbarnens tandvård, men kunna icke finna, på vad sätt den verkligen skall realiseras, på grund av brist på tandläkare.</w:t>
        <w:br/>
        <w:br/>
        <w:t>Medicinalstyrelsen, som i sitt yttrande varit inne på denna fråga, har för sin del icke velat tillstyrka något sådant, som jag här ovan vidrört, utan säger bl. a., att den tandvård, som lämnas, skall vara en fullgod sådan. Ja, det är gott och väl, men säkert är, att om vi skola vänta så länge, att vi kunna få tandläkare, som äro fullt utbildade och tillräckligt många för att fylla det behov, som förefinnes i hela vårt land för att, såsom medicinalstyrelsen föreslår, åstadkomma en fullgod tandvård, då blir det verkligen så tills vidare, att en bra liten procent av svenska folket får en dylik tandvård, och den största procenten av folket blir utan densamma helt och hållet. Och för övrigt, dä av de sakkunniga den ena auktoriteten uttalar sig på ett sätt och den andra på ett annat, så kan jag såsom helt och kållet lekman på detta område icke finna annat, än att tanken är sådan, att det är skäl att ta upp den vid den nu pågående utredningen, och därför skulle jag för min del önska, att kammaren ville gå med på en skrivelse till Kungl. Maj:t i den här frågan. Ty säkert är, att denna fråga dock är sådan, att man icke däri hyser olika principiella åsikter, utan var och en inser det stora behovet av en bättre tandvård för svenska folket.</w:t>
        <w:br/>
        <w:br/>
        <w:t>För övrigt skulle jag vilja säga i detta sammanhang, att det förekommit rätt ofta, att riksdagen skrivit till Kungl. Maj:t och begärt en förutsättningslös utredning, och om vi någon gång skulle kunna enas på en linje, så är det för visso i en fråga sådan som denna. Då nu en utredning pågår anser jag det vara lämpligt, att till densamma fogas de tankar, vilka jag nu i korthet framhållit, och som även vidrörts av medicinalstyrelsen.</w:t>
        <w:br/>
        <w:br/>
        <w:t>Därför, herr talman, skall jag be att få yrka bifall till utskottets motivering, men avslag på dess kläm och i stället bifall till motionens kläm.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1458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