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380</w:t>
      </w:r>
    </w:p>
    <w:p>
      <w:r>
        <w:rPr>
          <w:b/>
        </w:rPr>
        <w:t xml:space="preserve">Datum: </w:t>
      </w:r>
      <w:r>
        <w:t>1920-05-12</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Av det sista yttrandet framgår endast, att den som tiger han samtycker; det yrkande om återremiss till utskottet, som jag anförde, var således riktigt.</w:t>
        <w:br/>
        <w:br/>
        <w:t>monarkiska statsförfattningens bibehållande eller införande av republik.</w:t>
        <w:br/>
        <w:br/>
        <w:t xml:space="preserve">»På grund av vad sålunda anförts får utskottet — inom vilket olika meningar uttalats därom, huruvida i en omröstning av ifrågavarande slag böra deltaga samtliga till myndig ålder komna svenska män och </w:t>
      </w:r>
      <w:r>
        <w:rPr>
          <w:b/>
        </w:rPr>
        <w:t>kvinnor¹</w:t>
      </w:r>
      <w:r>
        <w:rPr>
          <w:b w:val="0"/>
        </w:rPr>
        <w:t xml:space="preserve"> eller någon inskränkning i fråga om rösträtten bör göras efter förebild från gällande bestämmelser om rösträtt till riksdagens andra kammare — i anledning av den föreliggande motionen hemställa, att riksdagen måtte besluta att hos Wungl. Maj:t anhålla om utarbetande och framläggande av förslag till lag angående en konsultativ folkomröstning beträffande frågan, huruvida den monarkiska statsformen bör bibehållas eller republik införas.»</w:t>
      </w:r>
    </w:p>
    <w:p>
      <w:pPr>
        <w:pStyle w:val="Heading2"/>
      </w:pPr>
      <w:r>
        <w:t>2. Einar Thulin (Socialdemokraterna, man)</w:t>
      </w:r>
    </w:p>
    <w:p>
      <w:r>
        <w:rPr>
          <w:b w:val="0"/>
        </w:rPr>
        <w:t>I den föregående frågan angående referendum har ju av talmannen vägrats proposition på ett uttalande från konstitutionsutskottets sida, att en konsultativ folkomröstning var Ööverensstämmande med vår författning. Den föreliggande motionen, över vilken utskottet har avgivit utlåtande, är ju en praktisk tillämpning av den grundsats, åt vilken konstitutionsutskottet i sitt tidigare behandlade utlåtande har givit uttryck.</w:t>
        <w:br/>
        <w:br/>
        <w:t>Vid detta betänkande är fogad en i nära anslutning till motionen utformad reservation, avgiven av herrar Strömberg m. fl., i vilken reservation det yrkats, »att riksdagen måtte besluta att hos Kungl. Maj:t anhålla om utarbetande och framläggande av förslag till lag angående en konsultativ folkomröstning beträffande frågan, huruvida den monarkiska statsformen bör bibehållas eller republik införas». Med hänsyn till en tidigare uppfattning, som gjorts gällande av talmannen, torde väl på ett dylikt yrkande proposition komma att vägras. Av hänsyn härtill anser jag, att det icke tjänar någonting till</w:t>
        <w:br/>
        <w:br/>
        <w:t>Ang. folkatt gå in på en realbehandling av de synpunkter, som tala för anöm. införande ställandet av här föreslagna referendum, utan jag tillåter mig allenast, av republik. herr talman, att yrka bifall till den av herr Strömberg m. fl. nu av-</w:t>
        <w:br/>
        <w:br/>
        <w:t>göra den propositionsvägran, som väl torde komma i detta fall.</w:t>
      </w:r>
    </w:p>
    <w:p>
      <w:pPr>
        <w:pStyle w:val="Heading2"/>
      </w:pPr>
      <w:r>
        <w:t>3. Samuel Clason (Första kammarens nationella parti, man)</w:t>
      </w:r>
    </w:p>
    <w:p>
      <w:r>
        <w:rPr>
          <w:b w:val="0"/>
        </w:rPr>
        <w:t>Jag förstår icke riktigt den föregående ärade talarens anförande, då han, såvitt jag förstod honom rätt, ville göra gällande, att denna fråga vore alldeles densamma som den fråga, som förelåg i det föregående betänkandet. Så är väl alldeles icke förhållandet. Här är ju sakläget sådant, att det avslagsyrkande, på vilket utskottet har ställt sig, baserar sig på olika skäl. Dels har ju från en del av utskottets medlemmar de skälen framförts, att ett konsultativt referendum icke kan utan grundlagsändring införas med vår nuvarande författnings bestämmelser; och jag skulle vilja påpeka, att i en fråga sådan som denna har tydligtvis en sådan uppfattning med alldeles särskild styrka kunnat göra sig gällande. Jag kan förstå personer, som kunna hysa en viss tvekan, om icke ett sådant referendum kunde äga rum beträffande en del frågor, där det från folkets sida endast gäller att uttala önskemål, men jag måste betona att, när det såsom här är fråga om grundlagsstiftning, träder den av mig i en föregående debatt hävdade uppfattningen alldeles särskilt i förgrunden. Vi skola nämligen komma ihåg, att för grundlagstiftning över huvud förefinnas alldeles särskilda former stadgade. Ett förslag om grundlagsändring skall först noga beredas av konstitutionsutskottet, men möjligheten att sedermera få ett grundlagsändringsförslag antaget förutsätter ju faktiskt en form av referendum. Därvid förekommer nämligen — det påpekade jag i mitt föregående anförande — den form av referendum att man verkligen skall vädja till valmännen i val. Således skall en dylik fråga på ett alldeles särskilt sätt underställas folket i val, och först sedan återkommer den till en påföljande riksdag, och vid detta senare tillfälle har riksdagen att fatta sitt definitiva beslut. Det synes mig alltså att då man av grundlagens bestämmelser över huvud bör draga den slutsatsen, att utan grundlagsändring en folkomröstning är utesluten, gäller detta alldeles särskilt i fråga om grundlagsstiftning, där redan nu folkomröstning är i författningen införd under vissa bestämda former. Här skulle det alltså vara fråga om att inkasta ett nytt slags allmän folkomröstning.</w:t>
        <w:br/>
        <w:br/>
        <w:t>Detta om den sidan av saken.</w:t>
        <w:br/>
        <w:br/>
        <w:t xml:space="preserve">Men dessutom har ju. såsom i utskottets utlåtande påpekats, även andra skäl för avslag gjorts gällande i denna fråga. Det har ju betonats, att den särskilda fråga, som föreligger, är av den beskaffenhet, att någon aktualitet av densamma icke alls föreligger, och att således på denma grund det måste vara alldeles olämpligt och omotiverat att för närvarande hemställa till Kungl. Maj:t om, såsom motionären föreslagit, utarbetande och föreläggande för riksdagen av en provisorisk lag angående omröstning för alla män och </w:t>
      </w:r>
      <w:r>
        <w:rPr>
          <w:b/>
        </w:rPr>
        <w:t>kvinnor¹</w:t>
      </w:r>
      <w:r>
        <w:rPr>
          <w:b w:val="0"/>
        </w:rPr>
        <w:t xml:space="preserve"> över 21 år i och för utrönande, huruvida det svenska folket önskar den monarkiska statsförfattningens bibehållande eller införande av republik. Det har som sagt gjorts gällande inom konstitutionsutskottets</w:t>
        <w:br/>
        <w:br/>
        <w:t>majoritet, att, vilken ståndpunkt man än intager i fråga om den konstitutionella sidan av saken, denna fråga icke har den aktualitet, att det för närvarande kan anses vara påkallat att begära en folkomröstning i densamma. Och det synes mig, som om från deras sida, vilka vilja hävda en mot utskottets uppfattning avvikande mening, det borde vara nödvändigt att framföra verkliga skäl varför man just på denna punkt skall anhålla om en folkomröstning.</w:t>
        <w:br/>
        <w:br/>
        <w:t xml:space="preserve">Jag ber dessutom att få påpeka, vad som kanske icke alldeles tydligt framgår av utskottets utlåtande, att det förslag, som är framlagt av motionärerna dessutom innebär, att denna folkomröstning skulle verkställas av män och </w:t>
      </w:r>
      <w:r>
        <w:rPr>
          <w:b/>
        </w:rPr>
        <w:t>kvinnor¹</w:t>
      </w:r>
      <w:r>
        <w:rPr>
          <w:b w:val="0"/>
        </w:rPr>
        <w:t xml:space="preserve"> över 21 år, d. v. s. av en annan valmanskår, om jag så får säga, en kår med annan åldersgräns, än de, som för närvarande äro röstberättigade vid val till riksdagens båda kamrar. Nu vet jag icke, om det är den första reservantgruppens mening då de i detta avseende frångått motionärens yrkande, att de vilja lämna åt Kungl. Maj:t att avgöra, vilken ålder de omröstande skulle hava. De hava 1 sin kläm uteslutit den där åldersgränsen, men de hava, såvitt jag kunnat finna, icke i motiveringen satt in någon klart uttryckt önskan i detta avseende. Herr Hellberg har däremot gått en annan väg. Han vill begränsa omröstningen till de politiskt myndiga. Även detta synes mig giva vid handen, att det icke går an att avlåta en skrivelse sådan den reservanterna föreslå.</w:t>
        <w:br/>
        <w:br/>
        <w:t>Jag tillåter mig, herr talman, att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380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