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1472</w:t>
      </w:r>
    </w:p>
    <w:p>
      <w:r>
        <w:rPr>
          <w:b/>
        </w:rPr>
        <w:t xml:space="preserve">Datum: </w:t>
      </w:r>
      <w:r>
        <w:t>1920-05-15</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Wilhelm Björck (Socialdemokraterna, man)</w:t>
      </w:r>
    </w:p>
    <w:p>
      <w:r>
        <w:rPr>
          <w:b w:val="0"/>
        </w:rPr>
        <w:t>Herr talman, mina herrar! Som kammaren behagade finna, är vid utskottets betänkande en reservation avgiven av sju utskottsledamöter. Jag skall be att med några ord få motivera denna reservation, med tillkännagivande, att jag med hänsyn till den långa föredragningslistan kommer att fatta mig så kort som möjligt.</w:t>
        <w:br/>
        <w:br/>
        <w:t>Det finns mellan utskottsmajoriteten och reservanterna icke några delade meningar om, att det är ytterst glädjande, att departementschefen velat befrämja den säkerligen ur social och vetenskaplig synpunkt betydelsefulla undervisningsgren, som det här gäller. Meningsskiljaktigheten rör icke själva saken, utan egentligen det sätt, på vilket frågan bäst och ändamålsenligast bör lösas, och härvidlag ha reservanterna fått klaven till sitt motstånd från departementschefen, som i en punkt icke ansett sig kunna i ärendets dåvarande läge intaga en fullt bestämd ståndpunkt. Det är frågan om de 3,000 kronor, som äro avsedda till arvode åt en biträdande lärare, och på denna punkt ha av ingen mindre än dåvarande inspektören för vanföreundervisningen, professor John Berg, framställts vissa anmärkningar, som departementschefen ansett sig böra taga hänsyn till och som i propositionen refererats</w:t>
        <w:br/>
        <w:br/>
        <w:t>å det sättet, att professor Berg anser, att vanföreanstaltens i Stockholm huvudsyfte skulle äventyras med den av karolinska institutets lärarkollegium föreslagna anordningen. Således ett ganska starkt uttalande av en sakkunnig person, som icke kunnat undgå att på oss lekmän göra ungefär samma intryck, som det uppenbarligen gjort på departementschefen.</w:t>
        <w:br/>
        <w:br/>
        <w:t>Det är, som sagt glädjande, att departementschefen icke låtit frågan i sin helhet förfalla, därför att denna outredda punkt förelåg.</w:t>
        <w:br/>
        <w:br/>
        <w:t>Jag ber emellertid få framhålla, att om man går till den föregående utredningen i ärendet, så finnas även där vissa dunkla punkter. Sålunda är det icke utrett, vad denna biträdande lärare skulle undervisa i. Det säges, att han skulle undervisa i rörelseorganens funktionslära och bandagelära o. s. v. Men då inträffar det märkvärdiga, att professorn i anatomi säger, att undervisning i funktionslära av denne biträdande lärare är överflödig, ty sådan undervisning meddelar han själv, och i fråga om de andra under-</w:t>
        <w:br/>
        <w:br/>
        <w:t>visningsgrenarna säga vederbörande lärare, att också undervisningen därvidlag är överflödig, ty där meddela de sådan. Således är själva verksamheten på grundläggande punkter underminerad, och därför har det för reservanterna icke framstått som nödvändigt att biträda framställningen i denna del.</w:t>
        <w:br/>
        <w:br/>
        <w:t>Jag kan tillägga, att meningen icke är, att staten skall betala hela avlöningen ät denne man, då det finnes medel på annat håll för ändamålet. Meningsskiljaktigheten gäller, om detta belopp av 3,000 kr. skall utgå dels av statsmedel och dels av vanföreanstaltens medel, eller om allt skall utgå av vanföreanstalten. Det gäller med andra ord, om denna person skall vara biträdande läkare eller biträdande lärare. Och det är i denna tvistefråga, som reservanterna anse, att de föreliggande omständigheterna icke hänvisa på frågans lösning efter de linjer, som den i ärendet direkt intresserade, nämligen professor Haglund, vill göra gällande. Det kan nämligen icke nekas, att professor Haglund, som företräder ett ämne, som icke är obligatoriskt och i vilket icke kräves någon examination, har på sig hela året för att meddela undervisning. Men nu är tydligen professor Haglund en ganska förnäm och en ganska anspråksfull man, som duktiga läkare stundom bli, och därför säger han, att ni kunna väl icke begära, att jag skall meddela undervisning hela året, utan jag vill inskränka mig till tre kurser. Nu tycker jag detta är en motivering, som för mig såsom lärare icke har någon avgörande betydelse. Ty det vet var och en, att om man läser tre parallellkurser i samma klass, så har man att läsa samma läxa om och om igen, och det får man vara belåten med, och det är många, som detta gäller. Då tycker jag, att professor Haglund icke kan göra anspråk gällande på biträdande lärarkrafter, då tiden tydligen medger honom att själv meddela erforderlig undervisning.</w:t>
        <w:br/>
        <w:br/>
        <w:t>Det för mig avgörande skälet i denna punkt är emellertid att om man bifaller den av professor Haglund önskade förstärkningen av lärarekratterna så skulle det icke i examen ingående ämnet ortopedi vid Karolinska institutet bli företrätt på samma sätt som de stora ämnena kirurgi och medicin vid statsuniversiteten, vilka ju äro väsentligt mera omfattande och obligatoriska för alla. Förslaget innebär sålunda betänkliga konsekvenser även i detta avseende. Ty det är icke tvivel om, att det skall komma att framställas väsentligt ökade krav på biträdande lärare, om denna framställning vinner riksdagens bifall. Vid ett samtal, som jag tillsammans med en annan ledamot i utskottet haft med professor Haglund, svarade han också på denna anmärkning: ja, det medgives men jag anser, att varje professor bör ha en biträdande lärare. Den uppfattningen kan jag ingalunda dela, då jag anser, att var och en bör arbeta så gott han kan utan hänsyn till egen bekvämlighet och av intresse för sin tjänst.</w:t>
        <w:br/>
        <w:br/>
        <w:t xml:space="preserve">Den andra punkt, där skiljaktighet består mellan reservanterna och utskottets majoritet, är beträffande behovet av </w:t>
      </w:r>
      <w:r>
        <w:rPr>
          <w:b/>
        </w:rPr>
        <w:t>kvinnligt¹</w:t>
      </w:r>
      <w:r>
        <w:rPr>
          <w:b w:val="0"/>
        </w:rPr>
        <w:t xml:space="preserve"> tekniskt biträde. Förhållandet är det, att sådana </w:t>
      </w:r>
      <w:r>
        <w:rPr>
          <w:b/>
        </w:rPr>
        <w:t>kvinnliga¹</w:t>
      </w:r>
      <w:r>
        <w:rPr>
          <w:b w:val="0"/>
        </w:rPr>
        <w:t xml:space="preserve"> tek-</w:t>
      </w:r>
    </w:p>
    <w:p>
      <w:pPr>
        <w:pStyle w:val="Heading2"/>
      </w:pPr>
      <w:r>
        <w:t>2. unknown (–, –)</w:t>
      </w:r>
    </w:p>
    <w:p>
      <w:r>
        <w:rPr>
          <w:b w:val="0"/>
        </w:rPr>
        <w:t>niska biträden existera icke på stat mer än vid medicinska klini-</w:t>
        <w:br/>
        <w:br/>
        <w:t>undervisning ken vid serafimerlasarettet. Förra riksdagen avslog en framställ-</w:t>
        <w:br/>
        <w:br/>
        <w:t>ning om ett par sådana biträden vid andra medicinska institutio-</w:t>
        <w:br/>
        <w:br/>
        <w:t>vanföreanstalt. ner, därför att man icke ville gå in för den grundsatsen att staten</w:t>
        <w:br/>
        <w:br/>
        <w:t>vore skyldig att hålla sådana biträden. Man ansåg nämligen på goda grunder, att detta vore ett förtäckt sjuksköterskeanslag, och riksdagen har icke varit angelägen om att avlöna för stor personal vid enskilda kliniker, där undervisning bedrives för medicinskt syfte. Här kommer man alltså in på samma fråga, som jag nyss bade tillfälle att beröra beträffande biträdande lärare, nämligen huruvida avlöningen skall utgå i sin helhet av vanföreanstalten eller icke.</w:t>
        <w:br/>
        <w:br/>
        <w:t>Jag tror, att reservanterna förebragt synnerligen goda skäl för sin ståndpunkt, att detta anslag bör inskränkas till 4,000 kr. Vill emellertid departementschefen fasthålla vid den tveksamhet, som han i det föregående hyst så har jag intet att invända emot, att beloppet beviljas, ty då torde ändå garantier finnas för, att det icke kommer att utgå. I varje fall vill jag fästa uppmärksamheten på, att i propositionen icke ha framställts några bestämda villkor för detta anslags utgående, något som gjort, att utskottet nödgats föreslå, att anslaget skall utgå enligt de bestämmelser, som Kungl. Maj:t kan finna gott föreskriva.</w:t>
        <w:br/>
        <w:br/>
        <w:t>Jag hemställer, herr talman, om bifall till reservationen.</w:t>
      </w:r>
    </w:p>
    <w:p>
      <w:pPr>
        <w:pStyle w:val="Heading2"/>
      </w:pPr>
      <w:r>
        <w:t>3. Sven Bengtsson (Folkpartiet, man)</w:t>
      </w:r>
    </w:p>
    <w:p>
      <w:r>
        <w:rPr>
          <w:b w:val="0"/>
        </w:rPr>
        <w:t>Herr talman! Jag står i allmänhet på sparsamhetsvännernas sida, men när det gäller att lindra nöden och bistå dem, som lida, kan jag icke anlägga extrema sparsamhetssynpunkter. Här är ett område, där den medicinska vetenskapen under de sista tiotalen år gått fram på ett sätt, som varit enastående. Den storartade verksamhet, som utövas av vanföreanstalterna i landet ha från början tillkommit på initiativ av enskilda föreningar, och riksdagen har icke offrat några summor på den vetenskapliga utbildningen på detta område. Det är genom en donation, den professur blivit upprättad, som nu innehas av professor Haglund. Senaste riksdag har emellertid beslutat, att undervisningen i ortopedi skall förläggas till anstalten, och professor Haglund, som är anstaltens läkare, är samtidigt också lärare därstädes. Förutom i Stockholm ha vi endast två vanföreanstalter i riket, nämligen i Göteborg och Hälsingborg. Statsmakterna ha visat sitt intresse för vanförevården på det sätt, att fria resor till anstalten beviljas för den sjuke och en vårdare åt honom. Detta är ett gott handtag, som riksdagen givit dessa stackars sjuklingar, vilka, om de inte få hjälp, bli krymplingar för hela livet och odugliga för varje förvärvsmöjlighet. I anstalterna genom operationer söker läkarna få de sjukas lemmar rätade och läkta. Samtidigt lämnas yrkesundervisning åt patienterna, så att de i framtiden om möjligt skola kunna reda sig själva.</w:t>
        <w:br/>
        <w:br/>
        <w:t>Kungl. Maj:t begär nu, att staten också skall bevilja ett årligt anslag på 8,200 kr., för att man i ökad omfattning skall kunna</w:t>
        <w:br/>
        <w:br/>
        <w:t>meddela undervisning i ortopedi åt medicine kandidater, som seder- = Ang. mera skola bli läkare vid lasarett, provinsialläkare eller idka en- Hunderessning, skild praktik. Det är sålunda ett mycket gott ändamål, Kungl." guoiolm. Maj:t här begärt anslag till. Jag kan nämna, att av den redo-ranföreanstalt. görelse, som avgivits av anstalten i Hälsingborg, vilken jag när- = (Forts) mast intresserar mig för, framgår, att landstingens bidrag för 1919 uppgår till den stora summan av 64,418 kr., och av detta belopp har det län jag tillhör, nämligen Kristianstads, offrat icke mindre än 10,429 kr. När man ser, att landstingsmännen, som känna förhållandena i de bygder, där krymplingarna leva, visa ett så stort intresse, är det dä för mycket, att staten beviljar 8,200 kr., så att våra läkarekandidater skola kunna få en rätt inblick och undervisning i denna vetenskap, som är av så stor betydelse för landets befolkning?</w:t>
        <w:br/>
        <w:br/>
        <w:t xml:space="preserve">Nu har det emellertid inom utskottet yppat sig delade meningar i frågan. Reservanterna vilja pruta av ungefär halva det äskade beloppet. De äro med om ett anslag av 4,000 kr., men vilja pruta av anslaget till den biträdande läraren och det </w:t>
      </w:r>
      <w:r>
        <w:rPr>
          <w:b/>
        </w:rPr>
        <w:t>kvinnliga¹</w:t>
      </w:r>
      <w:r>
        <w:rPr>
          <w:b w:val="0"/>
        </w:rPr>
        <w:t xml:space="preserve"> tekniska biträdet eller tillsammans 4,200 kr. Då herr Björck redogjorde för de skäl, som ligga till grund för reservanternas ståndpunkt, anförde han bland annat, att när det gäller undervisningen i anatomi, behövs icke någon biträdande lärare, därför att professorn i anatomi säger, att han kan undervisa häri, liksom en annan professor säger, att han meddelar undervisning i den kirurgiska delen av ämnet. Ja, detta är gott och väl, men vid den undervisning i ortopedi, som det här är fråga om, måste man om resultat skall vinnas ha patienten under sina ögon och med sina händer och instrument hjälpa till rätta. Det är en stor och viktig undervisning, som tar lärjungens uppmärksamhet och tid mer i anspråk än vissa andra grenar av läkarutbildningen. Därför är det enligt min mening nödvändigt att anställa en biträdande lärare, för att professorn samtidigt med sin läraregärning skall kunna sköta sin befattning som läkare vid anstalten.</w:t>
        <w:br/>
        <w:br/>
        <w:t>Nu varnar herr Björck för konsekvenserna, och inom statsutskottet är man van att tänka på den saken. Det förefinnes emellertid härvidlag icke någon risk, såsom eljest ofta är fallet, ty på de olika avdelningarna, där läkare be, har man tillgodosett behovet av biträdande lärare i erforderlig utsträckning. Förra året fick sålunda professorn i ögonsjukdomar ett dylikt biträde. Om riksdagen sade nej till det förslag, som här föreligger, skulle det alldeles säkert missförstås ute i landet, där man vet, hurusom denna gren av den kirurgiska vetenskapen gått framåt, och hurusom tusentals människor tack vare densamma blivit hjälpta. Förut har det varit så, att våra läkare för att få en god utbildning på detta område måst resa utomlands. Nu ha vi emellertid en professor, som kan undervisa i ämnet, och under ledning av en biträdande lärare skulle våra blivande läkare kunna få en fullgod utbildning på detta område.</w:t>
        <w:br/>
        <w:br/>
        <w:t>Vad vidare gäller det tekniska biträde, som omnämnes i re-</w:t>
        <w:br/>
        <w:br/>
        <w:t xml:space="preserve">servationen, förhåller det sig så, att man vid behandling av ifrågavarande sjukdomar måste i betydande utsträckning använda röntgenfotografering, som utföres med tillhjälp av ett </w:t>
      </w:r>
      <w:r>
        <w:rPr>
          <w:b/>
        </w:rPr>
        <w:t>kvinnligt¹</w:t>
      </w:r>
      <w:r>
        <w:rPr>
          <w:b w:val="0"/>
        </w:rPr>
        <w:t xml:space="preserve"> tekniskt biträde med de kvalifikationer, som här avses. Det skulle vara egendomligt, om riksdagen betoge anstalten möjlighet att skaffa sig det biträde, som den anser sig behöva för att kunna fylla sin viktiga uppgift.</w:t>
        <w:br/>
        <w:br/>
        <w:t>Jag tror icke, att jag behöver taga tiden längre i anspråk, utan det torde med dessa ord vara tillräckligt bevisat, att utskottets ståndpunkt är stark, och jag ber därför att få yrka bifall till utskottets hemställan.</w:t>
        <w:br/>
        <w:br/>
        <w:t>Har tillverkningen skett med enkel, omedelbarligen med eld driven redskap, varde skatten beräknad efter redskapens avverkningsförmåga, som skall antagas under dygn uppgå till fyra gånger pannans rymd. Kan redskapens storlek icke utrönas, bestämmes skatten efter 500 liters tillverkning för dygn.</w:t>
        <w:br/>
        <w:br/>
        <w:t>I samtliga dessa fall skall skatten utgå för minst trettio dygn: men har tillverkningen blivit utövad över trettio men ej sextio dygn, utgöres skatt för sextio dygn, och över sextio men ej nittio dygn för nittio dygn o. s. v.</w:t>
        <w:br/>
        <w:br/>
        <w:t>. . 0 Pell] o Doc nde ar olagbrutna, inträder denna påföljd, även om den, som begått förbrytelsen, Plig ullberke</w:t>
      </w:r>
    </w:p>
    <w:p>
      <w:pPr>
        <w:pStyle w:val="Heading2"/>
      </w:pPr>
      <w:r>
        <w:t>4. Nils Olsson (Liberala samlingspartiet, man)</w:t>
      </w:r>
    </w:p>
    <w:p>
      <w:r>
        <w:rPr>
          <w:b w:val="0"/>
        </w:rPr>
        <w:t>Då jag står som reservant i avseende på formuleringen av 30 $, skall jag be att med några ord få ange min ståndpunkt.</w:t>
        <w:br/>
        <w:br/>
        <w:t>Från myndigheternas sida klagas det över svårigheten att stävja lönnbränningen på grund av de slappa lagbestämmelser, som finnas häremot. Därför har dels av Kungl. Maj:t och dels av enskilda motionärer framlagts förslag om skärpning av lagbestämmelserna mot olaga brännvinstillverkning. Med anledning härav har sammansatta bevillningsoch lagutskottet, som haft att behandla frågan, i likhet med Kungl. Maj:t beträffande 30 8 i förordningen den 11 oktober 1907 angående tillverkning av brännvin föreslagit följande ändrade lydelse: »Den, som tillverkar brännvin utan därtill erhållet behörigt tillstånd eller under tid, då på grund av Kungl. Maj:ts beslut brännvinstillverkning blivit inställd, straffes med fängelse i högst ett år eller böter från och med 500 till och</w:t>
        <w:br/>
        <w:br/>
        <w:t>med 5,000 kronor. Aro omständigheterna synnerligen försvårande, må till straffarbete i högst ett år dömas. Har den, som beträdes med olovlig brännvinstillverkning, icke förut begått förbrytelse, varom i detta moment sägs, och har tillverkningen skett allenast för eget behov eller under synnerligen mildrande omständigheter, vare straffet böter från och med 100 till med 2,000 kronor.»</w:t>
        <w:br/>
        <w:br/>
        <w:t xml:space="preserve">Då ärendet behandlades inom utskottet, var doktor Bratt tillkallad, och han redogjorde då för sin stora erfarenhet på området, varvid han med synnerlig styrka framhöll behovet av skärpt straff som det enda botemedlet. Jag vågar påstå, att, om herrarna hört de hårresande exempel, som av honom anfördes, man icke inom kammaren behövt befara, någon majoritet för bestämmelsen att, där »tillverkningen skett allenast för eget behov» straffet skulle kunna stanna vid futtiga 100 kr. eller nu gällande lägsta bötesbelopp. Man kan med skäl fråga, vad utskottsmajoriteten menar, när den talar om &gt;»eget behov», då det gäller bestämmelser om straff för lagbrott. Sakkunnigt folk på absolutismens område påstår, att något naturligt behov av alkohol icke finnes. Det behov, som finnes, är konstgjort, skapat genom exempel och vana, och i läkarekommitténs utlåtande om &gt;Alkoholen och samhället» påstås, att detta behov efter kort tid försvinner, om vederbörande tvingas till absolutism. Man kan möjligen tvista härom. Det framhålles även, att alkoholbegäret kan ärvas, men i varje fall böra vi kunna vara eniga om, att det icke bör i lagtexten fastslås ett påstått alkoholbehov, som skäl för minskat straff för ett överlagt brott, som ju lönnbränningen är. Man kan vidare fråga sig, vad som menas med förmildrande omständigheter» i dylikt fall. Man kan tala om förmildrande omständigheter, ifall en utsvulten stackare stjäl mat, ifall en </w:t>
      </w:r>
      <w:r>
        <w:rPr>
          <w:b/>
        </w:rPr>
        <w:t>mor²</w:t>
      </w:r>
      <w:r>
        <w:rPr>
          <w:b w:val="0"/>
        </w:rPr>
        <w:t xml:space="preserve"> med hungrande barn tillgriper nästans gods för att rädda de sina, ifall en anfallen begagnar större våld än nöden kräver 0. s. v. Men man kan med skäl spörja vad som förstås med förmildrande omständigheter, då det gäller lönnbränning.</w:t>
        <w:br/>
        <w:br/>
        <w:t>Genom den formulering, som utskottets majoritet givit 30 $, varigenom olovlig brännvinstillverkning för eget behov särskilt angivits som förmildrande omständighet kommer det, synes det mig, att givas ett visst berättigande åt husbehovsbränningen, eller åtminstone låter man få lagbrottet ett så milt bedömande och som en följd därav så litet kännbart straff som möjligt. Det synes mig uppenbart, att en lagstiftning i sådan riktning kommer att leda till ett ytterligare nivellerande av den redan angripna rättsuppfattningen på detta område, något som lagstiftningen naturligen icke skulle vara med om utan i stället anse som sin största uppgift att förhindra och förebygga.</w:t>
        <w:br/>
        <w:br/>
        <w:t>Något behov att i lagtexten medtaga det här påtalade uttrycket kan icke heller förefinnas ur lagskipningens synpunkt, då domaren på grund av den övriga lagtexten alltid har tillfälle att bedöma vad som i varje särskilt fall må anses som en förmildrande omständighet. Fastmer torde förekomsten av uttrycket i lagen komma att synnerligen försvåra bevisföringen och bedömandet av brottets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1472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