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1477</w:t>
      </w:r>
    </w:p>
    <w:p>
      <w:r>
        <w:rPr>
          <w:b/>
        </w:rPr>
        <w:t xml:space="preserve">Datum: </w:t>
      </w:r>
      <w:r>
        <w:t>1920-05-27</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Martin Andersson (Socialdemokraterna, man)</w:t>
      </w:r>
    </w:p>
    <w:p>
      <w:r>
        <w:rPr>
          <w:b w:val="0"/>
        </w:rPr>
        <w:t>Herr talman! Såsom herrarna finner har utskottet med icke så värst många raders motivering avstyrkt den av mig och herr Söderberg framburna motionen. Det är egentligen två saker, som utskottet framfört såsom skäl, varför man icke skulle bifalla densamma. Det framhålles, att Hemming har understöd från olika håll, ehuru till små belopp, och att å ett av dessa</w:t>
        <w:br/>
        <w:br/>
        <w:t>belopp, nämligen det, som riksdagen år 1914 beviljade, eller 60 kr.</w:t>
        <w:br/>
        <w:br/>
        <w:t>om året får han även dyrtidstillägg. Vidare framhåller utskottet, att Hemming om 15 år får det understöd från Vadstena krigsmanshuskassa, som nu uppgår till 73 kr., höjt till 100 kr. och efter ytterligare 7 år höjt till 200 kr. Det är dock icke så synnerligen stor utsikt till att han får någon glädie därav, därför att han för närvarande är synnerligen sjuk. Han lider av hjärtfel i mycket hög grad, och det är föga hopp om att han kan få någon nytta av dessa förhöj-</w:t>
        <w:br/>
        <w:br/>
        <w:t xml:space="preserve">ningar, som inträffa, den första efter 15 och den andra efter 22 år. De Ang. förhöjt understöd, Hemming för närvarande erhålla, äro synnerligen blyg- Öre samma, och om man tänker på att han på dessa skall försörja </w:t>
      </w:r>
      <w:r>
        <w:rPr>
          <w:b/>
        </w:rPr>
        <w:t>hustru²</w:t>
      </w:r>
      <w:r>
        <w:rPr>
          <w:b w:val="0"/>
        </w:rPr>
        <w:t xml:space="preserve"> stöd åt förre och ett barn 4 skolåldern, förstår man, att det icke räcker så långt. H. Hemming. I verkligheten blir det nog så, att </w:t>
      </w:r>
      <w:r>
        <w:rPr>
          <w:b/>
        </w:rPr>
        <w:t>hustrun²</w:t>
      </w:r>
      <w:r>
        <w:rPr>
          <w:b w:val="0"/>
        </w:rPr>
        <w:t xml:space="preserve"> i stället får försörja så- = (Forts) väl mannen som deras barn, ty själv är han fullkomligt oförmögen till så gott som allt arbete dels och framför allt på grund av de skador, han vid dessa två olika tillfällen ådragit sig, och dels på grund av den sjukdom, han för närvarande lider av.</w:t>
        <w:br/>
        <w:br/>
        <w:t>Utskottet framhåller också, att, sedan riksdagen förra gången beviljade honom understöd nämligen år 1914, ingenting inträffat, som kunde motivera en höjning av det understöd å 60 kr., riksdagen då beviljade bemälde Hemming. Jag kan emellertid icke riktigt följa utskottet i dess tankegång, att ingenting inträffat sedan 1914. Det är dock rätt mycket, som sedan dess inträffat. Det måste ju alla erkänna. Utom allt övrigt, har emellertid tillkommit, att Hemming, som förut haft en ganska god hjälp av sin fader, hos vilken han bott, numera icke kan erhålla någon vidare hjälp från honom, då fadern är 70 år gammal och därför måste lämna den befattning, han hittills innehaft, och samtidigt upphör givetvis möjligheten för honom att på något sätt kunna hjälpa sonen.</w:t>
        <w:br/>
        <w:br/>
        <w:t>Jag kan mycket väl förstå bankoutskottet. Det stöder givetvis sitt beslut på de utlåtanden, som infordrats dels från statskontoret och dels från arméförvaltningens artillerioch civila departement. Dessa utlåtanden gå ju båda i avstyrkande riktning. De skäl, som framhållits av statskontoret, äro mycket kortfattade, och äro desamma, som sedan utskottet upptagit. Arméförvaltningens artillerioch civila departement har däremot mera ingående motiverat sitt avslagsyrkande, och framhåller några saker, som jag icke kan underlåta att något bemöta. Det sägs bland annat på ett ställe: »Den av motionärerna åberopade omständigheten, att den skadade redan vid olycksfallet var behäftad med lyte, torde i förevarande fall icke böra tillmätas någon betydelse vid bedömandet av det honom tillkommande skadeersättningsbeloppet., — Vi ha nämligen i vår motion framhållit detta såsom en anledning till att vid bedömandet av minskningen i arbetsförmågan på grund av det senare olycksfallet man även skall taga hänsyn till att bemälde Hemming redan då var invalid. — Hade utskottet infordrat yttrande från riksförsäkringsanstalten, tror Jag icke, att det yttrandet blivit av liknande innehåll som arméförvaltningens artillerioch civila departementets yttrande. Jag vill nämligen erinra om att sista stycket i 8 $ olycksfallsförsäkringslagen, som ligger till grund för beräknandet av det understöd, som bör utgå, lyder: »Var den skadade vid olyvcksfallet behäftad med kroppsskada eller lyte, skall hänsyn jämväl därtill tagas.» För att litet närmare precisera vad som menas med detta hava kommitterade, då de framlade förslaget till olycksfallsförsäkrtingslagen, tagit ett exempel, som är ganska belysande. De framhålla nämligen, att man beräknar en skada på ögonen sålunda, att om svnen försvinner på båda ögonen beräknas detta alltid som full invaliditet eller nedsättning av</w:t>
        <w:br/>
        <w:br/>
        <w:t>det ena ögat och bibehålles oskadad på det andra, räknas detta i allmänhet som en nedsättning av arbetsförmågan med 20 2, men om en</w:t>
        <w:br/>
        <w:br/>
        <w:t>H. Hemming. Person redan är blind på det ena ögat, när han råkar ut för en olycks-</w:t>
        <w:br/>
        <w:br/>
        <w:t>händelse och blir blind även på det andra, så är det givet, att den beräknade nedsättningen av arbetsförmågan på grund av det sista olycksfallet icke skall beräknas till 20 2 utan till 80 Zz, så att den sammanlagda nedsättningen av arbetsförmågan blir lika med 100 z. Det kan ju sägas, att förhållandena icke äro enahanda eller likartade, då det gäller händerna, men något besläktat torde de i alla händelser vara, och även om dessa fall ej äro lika måste man i alla fall erkänna, att om en person har den ena handen skadad så att han icke kan använda den något nämnvärt, och så får även den andra i lika stor utsträckning skadad, har arbetsförmågan genom det sista olycksfallet nedsatts betydligt mera, än om han skulle haft den andra handen frisk. Jag tror således, att det är fullkomligt riktigt, att man tar hänsyn till en tidigare invaliditet. Även om det varit något otydligt i den äldre lagen av 1901, så klargöres det fullkomligt i 1916 års lag, att det verkligen är meningen, att man så skall göra.</w:t>
        <w:br/>
        <w:br/>
        <w:t>Nu säger också departementet i sitt yttrande, att man heller icke bör taga hänsyn till 1916 års lag och lämna något förhöjt understöd på grund av denna, då riksdagen tidigare har lämnat understöd beräknat efter en äldre olycksfallsförsäkringslag. Jag vill emellertid erinra om, att riksdagen har för alla dem som erhållit understöd beräknade efter den äldre olycksfallsförsäkringslagen, sedan den nyare = olycksfallsförsäkringslagen av 1916 genomförts, höjt dessa understöd ganska väsentligt men samtidigt gjort den begränsningen, att personer som haft ett understöd understigande 90 kronor icke skulle komma i åtnjutande av denna förhöjning. Hemming hade som förut sagts ett understöd på endast 60 kronor och kom sålunda icke i åtniutande av den förhöjning, som övriga understödstagare hava erhållit. ö</w:t>
        <w:br/>
        <w:br/>
        <w:t>I detta fall tror jag, att det vore en gärd av rättvisa, att riksdagen nu höjer det understöd. som denne Hemming äger erhålla och det finnes också många billighetsskäl som tala härför. Jag kan icke anse det vara riksdagen värdigt att till en person, som i statens tjänst förlorat båda sina hönder, lämna ett så blygsamt understöd som här är fallet för sista olycksfallet endast 60 kronor. Jag tror, att det som reservanterna här föreslå ingalunda kan sägas vara för mycket. De hava hemställt om att bemälde Hemming skulle erhålla ett understöd, i ett för allt inberäknat dyrtidstillägg, av 600 kronor. Jag hoppas i likhet med den ärade reservant, som förut hade ordet, att andra kammaren skall i likhet med första kammaren bifalla reservationen, och jag ber, herr talman, att få instämma 1 yrkandet om bifall till densamma.</w:t>
        <w:br/>
        <w:br/>
        <w:t>.. Härmed var överläggningen slutad. Herr talmannen gav propositioner dels på bifall till utskottets hemställan. dels ock på avslag därå samt bifall i stället till den vid punkten fogade reservationen:</w:t>
      </w:r>
    </w:p>
    <w:p>
      <w:pPr>
        <w:pStyle w:val="Heading2"/>
      </w:pPr>
      <w:r>
        <w:t>2. Swen Persson (Högerns riksdagsgrupp, man)</w:t>
      </w:r>
    </w:p>
    <w:p>
      <w:r>
        <w:rPr>
          <w:b w:val="0"/>
        </w:rPr>
        <w:t>Herr talman mina herrar! Jag förmodar att kammaren är mest tacksam, om debatten begränsas till det minsta möjliga, och jag skall därför för min ringa del i så koncentrerad form som möjligt motivera det avslagsyrkande, som jag ämnar framställa på det nu föredragna utlåtandet.</w:t>
        <w:br/>
        <w:br/>
        <w:t>Som kammaren behagade finna av konstitutionsutskottets utlåtande, har utskottet icke vågat sig på att direkt förorda herr Engbergs motion utan stannat vid ett skrivelseförslag med begäran om utredning av frågan »i vad mån kyrkomötets rätt att med Konungen och riksdagen lagstifta i kyrkolagsfrågor må kunna avskaffas». Jag förmodar, att de av kammarens ledamöter, som genomläst herr Engbergs motion, hava blivit besvikna därutinnan, att då de sökt efter det syndaregister, som kyrkomötet under sin mer än femtioåriga tillvaro skulle hava ådragit sig, hava de förgäves spanat efter detta i den ärade motionärens långa motivering. Motionen är, kan man säga, 1 huvudsak mera en historik över de öden, som liknande motioner hava rönt under gångna tider och det är nog svårt för var och en och t. o. m. för en man med herr Engbergs stora begåvning att komma fram med det påståendet, att kyrkomötet har missbrukat sin vetorätt. Tvärtom torde man få giva kyrkomötet det erkännandet. att det mycket varsamt har använt denna vetorätt. Det är ju allenast ett fåtal gånger, som denna vetorätt använts, det stannar, såvitt jag kan finna, vid allenast sex tillfällen. Vetot har använts två gånger vid 1868 års kyrkomöte, nämligen vid frågorna om stiftsbandets upphävande och frihet från pastoralexamens avläggande, och likaledes två gånger vid 1893 års kyrkomöte. Ena fallet var i fråga om helgemålsringningen — och att vi på landet har den så stämningsfulla helgemålsringningen kvar, är alltså kyrkomötets förtjänst — och andra fallet var gent emot en viktig ändring av 1 kap. 1 $ kyrkolagen angående formuleringen av kyrkans bekännelse. Vidare använde 1903 års kyrkomöte sin vetorätt i frågan om jordfästning i stillhet och 1909 års kyrkomöte i fråga om tillsättande av prästerliga tjänster. Jag behöver icke erinra kammaren om, att dessa frågor sedan blivit lösta. Att kyrkomötet vid olika tillfällen vidtagit en del ändringar i av Kungl. Mai:t till kyrkomötets prövning avlämnade förslag alldeles särskilt under den tidrymd, då Kungl. Maj:ts förslag först lämnades till kyrkomötet, kan man väl icke kalla för att kyrkomötet använt sin vetorätt. . |</w:t>
        <w:br/>
        <w:br/>
        <w:t>Då, såvitt jag kan förstå, det är nära nog omöjligt att påstå, att kyrkomötet missbrukat sin vetorätt. är det alldeles uppenbart, att det är andra skäl, com påverkat herr Engberg att framlägga denna motion, och jag tillåter mig uttala att det mål, som motionen allra vtterst siktar åt, icke heller återfinnes i motionen.</w:t>
        <w:br/>
        <w:br/>
        <w:t>Jag tror nämligen i korthet sagt, att motionen är ett förberedande Ang. ändrad steg till kyrkomötets avskaffande och i samband därmed till kyrkans MT sön 33 skiljande från staten och med denna uppfattning anser jag det beringsformen. slut, som riksdagen i dag kommer att fatta i denna fråga, vara av — (Forts) alldeles särskild betydelse, och jag påstår, det är en fråga, som innerst åsyftar statskyrkans avskaffande.</w:t>
        <w:br/>
        <w:br/>
        <w:t xml:space="preserve">Med starka skäl kan det sättas i fråga, huruvida icke ett uppskjutande av ställningstagandet bör äga rum. Vi skola ju icke allenast hava val till andra kammaren innevarande år, utan det är ju så, som vi alla veta, att även under nästa år någon gång man även skall gå till allmänna val till andra kammaren, och de urväljare, som valt den nuvarande andra kammaren, skola säkerligen då vara i minoritet bland väljarskarorna, ty då skola </w:t>
      </w:r>
      <w:r>
        <w:rPr>
          <w:b/>
        </w:rPr>
        <w:t>kvinnorna¹</w:t>
      </w:r>
      <w:r>
        <w:rPr>
          <w:b w:val="0"/>
        </w:rPr>
        <w:t xml:space="preserve"> få valrätt. Är det så förmätet att uttala den meningen, att dessa få hava ett ord med i laget vid avgörandet av en så djupt ingripande fråga, och är det välbetänkt, frågar jag, att binda sig vid en utredning, som utskottet föreslagit i anledning av motionen i en sådan fråga? För min ringa del svarar Jag härpå nej. För övrigt, mina herrar, klagas det ju så mycket över riksdagens arbetsbörda, och kan det då vara klokt att öka denna genom att till riksdagens avgörande överflytta de många specialärenden, som kyrkomötet har att handlägga? Jag vill till herrarnas eget bedömande överlämna prövningen av vår kompetens och lämplighet att avgöra t. ex. innehållet i vår psalmbok och kyrkohandbok o. dyl.</w:t>
        <w:br/>
        <w:br/>
        <w:t>Vidare vill jag erinra om, att riksdagen innevarande år har beslutat en skrivelse till Kungl. Maj:t med begäran om utredning om utvidgning av lekmannaelementet i kyrkomötet, och jag nästan frestas att fråga: är delokratien rädd för sig själv, när det gäller religlösa spörsmål? Börjar den, frågar jag, tvivla på sin egen inneboende kraft? Den ärade motionären säger på ett ställe i sin motion något som jag skall be att få uppläsa för kammaren. Han säger där: »Nu vill man likväl, att statsmakten skall, förmodligen ända till tidernas fullbordan, bära denna onödigtvis 'åtagna black om foten ete.&gt; Jag vill för min ringa del säga: lyckligt det folk, som icke har någon svårare black om foten än kyrkomötet varit under gångna tider för Sverige.</w:t>
        <w:br/>
        <w:br/>
        <w:t>Jag kan, herr talman, icke frigöra mig från den tanken, att motionen är ett Jed i i strävandena att avskaffa statskyr rkan, och man får väl i alla fall erkänna, att vår kyrka med alla sina brister dock har bestått släkten och tider i igenom, och har varit och ännu är till välsignelse för vårt folk. Jag förmenar, att vår kyrka och religion är det största arv, som vi fått av våra fäder, och jag håller före. att det är vår plikt att i allra bäst vårdade skick lämna detta arv till dem, som komma efter oss. Det är därför med verkligt beklagande, som Jag nödgas konstatera, att utskottets samtliga liberala ledamöter tillhöra utskottets majoritet. Vid sådant förhållande är det icke att förvåna sig över att, efter vad jag erfarit, första kammaren alldeles nyss med 60 röster mot 48 har bifallit utskottets hemställan. Här riktas i varje fall i dag ett slag mot vår statskyrka, och jag tror,</w:t>
        <w:br/>
        <w:br/>
        <w:t>sig det gamla ordspråket: i dag mig i morgon dig. - På de synpunkter, som jag i korthet tillåtit mig anföra, och på de skäl, som äro angivna i den av herr Clason m. fl. avgivna reser-</w:t>
        <w:br/>
        <w:br/>
        <w:t>vationen ber jag, herr talman, att få yrka avslag å såväl motionen som utskottets hemställan.</w:t>
      </w:r>
    </w:p>
    <w:p>
      <w:pPr>
        <w:pStyle w:val="Heading2"/>
      </w:pPr>
      <w:r>
        <w:t>3. Arne Forssell (Lantmanna- och borgarepartiet inom andrakammaren, man)</w:t>
      </w:r>
    </w:p>
    <w:p>
      <w:r>
        <w:rPr>
          <w:b w:val="0"/>
        </w:rPr>
        <w:t>Herr talman! Den föregående ärade talaren yttrande några väl befogade ord om oklarheten i syftet med den motion och det utskottsbetänkande, som nu föreligga till behandling. Jag vill tillägga, att denna obestridliga oklarhet rörande syftet har också satt djupa spår i den logiska redan och sammanhanget i den bevisföring, som motionären och utskottet tillåtit sig prestera. Det råder — det måste sägas — en alldeles obestämd disproportion mellan de premisser, som motionären och utskottet antagit som sina, och det yrkande, som motionären och utskottet gemensamt kommit till och som i sak är lika, ehuru skiljaktigt i yttre form.</w:t>
        <w:br/>
        <w:br/>
        <w:t>På sidan 8 i utskottets betänkande står att läsa: »Statskyrkan kan icke ses som ett gentemot staten självständigt rättssubjekt. Den är en viss sida av statens verksamhet. Staten är organiserad för skilda verksamheter. För undervisningens syften har den en skolorganisation, för nationalförsvarets syften en militär organisation 0. s. v. Sammalunda har den för sina religiösa syften en kyrklig organisation. Det faller ingen in att betrakta skolväsendet eller militärväsendet som ett gent emot staten självständigt rättssubjekt. Skulle det då finnas något rimligt skäl att inrymma en undantagsställning åt kyrkoväsendet?» Med denna utgångspunkt i minnet må det vara förlåtligt, om man blir något förvånad, när man stannar vid motionärens yrkande, som går ut på bibehållandet av ett kyrkomöte, sammanträdande vart femte år, och av vilket utlåtanden måste inhämtas i till kyrkolagen hörande frågor. Ställer man sig på den ståndpunkten, att ingen som helst principiell skiljaktighet skall finnas mellan statskyrkan å ena sidan och undervisningsväsendet och försvarsväsendet å andra sidan, ja, då skulle herr Engberg vara skyldig göra det medgivandet, att man med fog kunde resa krav på ett möte för försvarsväsendet, som sammanträdde vart femte år och som bestode av officerare och civila. Och inför detta möte skulle till försvarsväsendet hörande frågor läggas för inhämtande av dess utlåtande. Men en sådan konsekvens är jag övertygad om, att herr Engberg icke vill vara med på. Men redan detta visar, att det är någonting på tok, och att här föreligger en riskabel brist på sammanhang och logik i argumenteringen. Om kyrkomötet nu får sin kompetens begränsad så som här föreslås, vad hindrar då att om något år en statsvetenskaplig adept står upp och »bevisar», huru fullkomligt inkonsekvent</w:t>
        <w:br/>
        <w:br/>
        <w:t>det är att kyrkan har denna rätt att avgiva utlåtanden, då utgångs- Ang. ändrad punkten är kyrkans likställighet med undervisningsväsendet eller lydelse av $$ försvarsväsendet. Denna argumentering skulle då åtminstone kunna vjnjsformen få ett betydligt högre betyg i logik, än herr Artur Engbergs. Jag (Forts) | vill alltså på det bestämdaste framhålla för herrarna, att den, som, | trots att han följer herre Artur Engberg, tror, att han befinner sig på logikens fasta mark, den misstar sig grundligt. Han har givit sig ut på en gungfly, där han måste sjunka ganska långt för att nå botten. Och detta är inte den enda punkten, herr talman och mina herrar, där man finner en sådan bristfullhet i logiken, en sådan svaghet i tankekraften. Om man analyserar framställningen vidare, finner man utan tvivel två tankelinjer i såväl motionen som utskottsbetänkandet, vilka absolut icke kunna sammanbringas i en motsägelselös harmoni. Man finner å ena sidan, hur herr Engberg gör gällande, att kyrkomötet icke är behövligt; det är icke erforderligt, det är onödigt. Varför? Jo, därför att kyrkan är staten sedd ur en viss synpunkt, statens organ för vissa ändamål. Den, som utan kritik tar del av den argumenteringen skulle häruti icke utan visst fog kunna tro sig finna en utfästelse, att staten icke skall sekulariseras, att staten icks skall avkristnas. I denna formulering, i denna tankegång, som herr Engberg så skisserat, däri ligger ovägerligen detta, att kyrkomötet är överflödigt, därför att staten har påtagit sig kyrkomötets uppgifter. Det vore ju kantänka blott frågan om en ny arbetsfördelning inom statens ram. Om vetot försvunne, då bleve det blott på ett annat sätt, som staten arbetade för sina kyrkliga syften. Men staten själv skulle alltid ha kvar sina kristliga uppgifter, komme aldrig att »sekulariseras»! Men, mina herrar, den tankegång, som man här har inför sig, den väcker ens förvåning, när man finner, att herr Engberg i sin historiska överblick tror sig ha uppvisat något helt annat, nämligen att statskyrkan har förlorat sin maktställning, att den är undergrävd, att huvudmotivet eller ett av huvudmotiven för hela kyrkomötets ställning är borta. Dessa utgångspunkter, dessa historiska analyser, som han i det sammanhanget lämnat, peka direkt hän mot kyrkomötets, statskyrkans och hela statsreligionens avskaffande. Jag menar, att denna sistnämnda linje står i öppen strid med den förra, som ju innebar, att staten aldrig skulle sekulariseras. Bockfoten — förlåt ordet — sticker fram, om man har ögonen med sig. Jag har endast velat fästa uppmärksamheten vid dessa små, man kan om man vill vara artig, kalla det inadvertenser i herr Engbergs framställning. Fullt konsekvent är den verkligen icke, den är tvärt om synnerligen bristfull och. motsägelsefull. Och det är bestämt att varna för att giva sitt stöd åt det framsällda yrkandet, detta skenbart menlösa yrkande. Ty bakom detta yrkande dölja sig, som sagt, premisser, vilka när som helst kunna dragas ut i sina konsekvenser på ett sätt, som det är skäl, att hava uppmärksamheten fästad vid. Då man ser hela denna orediga och oklara motivering, som varken hedrar motionären eller utskottet, då har man rätt att</w:t>
        <w:br/>
        <w:br/>
        <w:t>När herr Engberg skall riktigt krossa denna institution, kyrkomötets vetorätt, då hänger han sig vidare åt en hel mängd statsfilosofiskt-skolastiska konstruktioner, han kastar in i sin argumentering en del termer från statsvetenskapen, som jag är övertygad om icke så många av denna kammares ledamöter intresserar sig vidare för att kontrollera. Han bestrider sålunda kyrkomötets rätt att fungera som »omedelbart statsorgan», och konstitutionsutskottet som inte vill vara sämre, tävlar i lärdom med den ärade motionären och uttrycker den uppfattningen, att det icke bör vara tillåtet, att »ett sekundärt statsorgan, på ett visst område upphöjes till likställighet med »de primära statsorganen». Jag vill för min del säga, att den som ur gångna tiders lagstiftningsarbete för att ordna förhållandet mellan statsmakterna å ena sidan och kyrkan å den andra söker deducera fram kyrkans väsen och med stöd av en formalistisk bokstavstolkning vill liksom pressa in kyrkan i ett fack av Kungl. Maj:ts kansli, den har en mycket svag och grumlad historisk blick. Det förhåller sig ju tvärtom så, att kyrkans väsen är irrationellt, det är en historiskt given makt sedan årtusenden tillbaka, en övervärldslig .makt, som stått i en viss spänning till statsmakterna. Om denna spänning har tid efter annan utlöst sig i konflikter för att åter utjämnas i uppgörelser. När vi stå inför 1860-talets lagstiftning om kyrkomötet, tror jag, att vi få uppfatta den såsom ett led i denna serie av uppgörelser. Om sedan denna uppgörelse står i samklang eller strid med någon teoretisk »organlära», är alldeles likgiltigt. Stämmer icke verkligheten med teorien — så mycket sämre för teorien.</w:t>
        <w:br/>
        <w:br/>
        <w:t>I detta sammanhang vill jag säga några ord om påståendet att kyrkomötet skulle kommit till uteslutande såsom ett »vederlag» för prästeståndets bifall till representationsreformen. Detta är naturligtvis en ytterligt djärv konstruktion, ty man bör erinra sig, att detta krav på ett kyrkomöte icke var begränsat till Sverige; samma rörelse, som här i landet resulterade i skapandet av kyrkomötet, trädde också fram i Finland och resulterade där i ett kyrkomöte med liknande kompetens som det svenska. Och det finnes ingen möjlighet att göra gällande, att det finska kyrkomötet, sådant det där byggts upp på 1860- talet, skulle hava någon som helst karaktär av vederlag. Hela ståndsrepresentationen bibehölls där. Rörelsen kan för övrigt spåras inom hela den skandinaviska kulturkretsen. Man bör, synes det mig, icke göra för mycket affär av denna teori om »vederlaget». Och för övrigt måste jag säga, att om det alltigenom vore frågan om ett vederlag, om det gällde ett avtal, så vore det ganska egendomligt att nu rygga detta avtal. För att komma ifrån den moraliska svårighet, som ligger i ett sådant ryggande, har konstitutionsutskottet tagit sig för att falla tillbaka på ett minst sagt ohållbart ybtrande av 1894 års konstitutionsutskott. I detta konstitutionsutskottsutlåtande av år 1894 "illåter sig sagda utskott att säga: »Då emellertid, såsom känt är, ståndet» — prästerståndet nämligen — »knappast kan anses hava otvunget biträtt reformen» — det gällde den stora representations-</w:t>
        <w:br/>
        <w:br/>
        <w:t>reformen — »in mindre understött densamma på grund av den kvr- Ang. ändrud</w:t>
        <w:br/>
        <w:br/>
        <w:t>komötet sålunda tillförsäkrade lagstiftningsmakten, synes det fak- FA av 55 ö vn &gt; . . å och 88 vewye-</w:t>
        <w:br/>
        <w:br/>
        <w:t>tiska syftemålet med förevarande ändringar i regeringsformen redan ringsformon.</w:t>
        <w:br/>
        <w:br/>
        <w:t>från början hava varit i viss mån förfelat». Man gör alltså gällande, (Forts.</w:t>
        <w:br/>
        <w:br/>
        <w:t>alt, för att en kompromiss skall av eftervärlden godtagas, skall efter-</w:t>
        <w:br/>
        <w:br/>
        <w:t>världen först kunna konstatera en den sanna kompromissens anda</w:t>
        <w:br/>
        <w:br/>
        <w:t>hos dem saken berör — självstymparens perversa njutningslystnad.</w:t>
        <w:br/>
        <w:br/>
        <w:t>Är det så, att den som fått ot » vederlag» icke anses ha ådagalagt den</w:t>
        <w:br/>
        <w:br/>
        <w:t>rätta sinnesförfattningen, ja. då förklaras kompromissen helt enkelt</w:t>
        <w:br/>
        <w:br/>
        <w:t>ogiltig. Det är ganska botänkliga synpunkter, som kommit fram i</w:t>
        <w:br/>
        <w:br/>
        <w:t>detta 1894 års utskottsutlåtande, och man hade velat hoppas, att 1920</w:t>
        <w:br/>
        <w:br/>
        <w:t>ärs konstitutionsutskott skulle hållit sig för gott att skatta åt sådana</w:t>
        <w:br/>
        <w:br/>
        <w:t>kompromissfilosofemer. Det synes mig vara skäl att påminna om de</w:t>
        <w:br/>
        <w:br/>
        <w:t>mindre önskvärda konsekvenser för framtiden av en dylik lära om</w:t>
        <w:br/>
        <w:br/>
        <w:t>den »anda», 1 vilken en kompromiss skall göras för att bli gällande</w:t>
        <w:br/>
        <w:br/>
        <w:t>och om eftervärldens befogenhet att pröva, godkänna eller förkasta</w:t>
        <w:br/>
        <w:br/>
        <w:t>Huvudfrågan vid bedömandet av det föreliggande spörsmålet är</w:t>
        <w:br/>
        <w:br/>
        <w:t>emellertid icke, huru man skall uppfatta den »organställning», som den teoretiska spekulationen på grund av formella lagstadganden kan utfundera, eller det omtalade »vederlaget». Huvudfrågan är, hur man uppfattar kyrkans roll och upperfter i historien och i samtiden. Det finnes här en given motsats mellan staten och kyrkan, mellan vilka en spänning varit och kommer att bestå på grund av bådas olika väsenskaraktär, en spänning som går till konflikt, omväxlande med uppgörelser.</w:t>
        <w:br/>
        <w:br/>
        <w:t>Den hållning, som man nu intar i den föreliggande frågan, beror icke och bör icke bero på formalistiska tolkningar, utan den beror helt enkelt på olika värdesättningar av den andliga maktfaktor som kyrkan är. Jag skulle för min del vilja uttala en bestämd varning mot att underskatta det inflytande, som denna kyrka har över det svenska folkets sinnen.</w:t>
        <w:br/>
        <w:br/>
        <w:t>Herr Engberg talar i sin motion om att en anledning till att man</w:t>
        <w:br/>
        <w:br/>
        <w:t>föreslagit avskaffandet av kyrkomötets vetorätt är den, att ingen konflikt mellan stat och kyrka förekommit under den gångna tiden. Det är också ett skäl att avskaffa detsamma! Detta bevisar ju snarare det att denna uppgörelse från 1860-talet var en ganska lyckligt träffad uppgörelse och att den modus vivendi, som 1860-talets lagstiftning om kyrkomötet innebar, hållit och hållit väl. Icke skall man väl gå på jakt efter konflikter! Statslivets uppgift är ju att utjämna konflikter — icke skall man sörja över frånvaron av dem. Det ser nästan ut som om man genom denna s. k. reform ville framkalla konflikter, och jag är rädd, att man kan bli bönhörd över hövan. Ty man felbedömer läget fullständigt, om man tror, att den omtalade frånvaron av konflikter berott på kyrkans svaghet. Vill man skapa nya konflikter i vårt samhällsliv, då skall man gå fram på motionärens och utskottets linjer, varemot jag i samhällsfridens namn velat tilllåta mig att uttala en varning.</w:t>
        <w:br/>
        <w:br/>
        <w:t>Det är med sådana synpunkter och med den bestämda känslan.</w:t>
        <w:br/>
        <w:br/>
        <w:t>lämna, som jag för min del ställer mig på den ståndpunkten, att jag ansluter mig till reservanternas hemställan.</w:t>
        <w:br/>
        <w:br/>
        <w:t>Jag ber alltså, herr talman, att få yrka avslag å utskottets hemställan och bifall till den av herr Clason m. fl. framställda reser-</w:t>
      </w:r>
    </w:p>
    <w:p>
      <w:pPr>
        <w:pStyle w:val="Heading2"/>
      </w:pPr>
      <w:r>
        <w:t>4. Arthur Engberg (Socialdemokraterna, man)</w:t>
      </w:r>
    </w:p>
    <w:p>
      <w:r>
        <w:rPr>
          <w:b w:val="0"/>
        </w:rPr>
        <w:t>Herr talman, mina herrar! Den föregående talaren uraktlät att gå in på en saklig behandling av själva den föreliggande frågan. Jag hade mot bakgrunden av den pose, han intog, väntat, att han åtminstone skulle aktat problemet värdigt att bliva föremål såväl för hans lärdom som hans ytterliga skarpsinne. Beträffande det sistnämnda rann mig i minnet ett ord av Ibsen: »I Sandhed en yderst begavet Mand, alt vad han siger gaar over ens Forstand.» Huru herr Forssell kunde sammanrimma de olika delarna av sitt resonemang gick åtminstone över mitt förstånd. Det råkar nu en gång vara så olyckligt för herr Forssell och hans medkommittenter inom konstitutionsutskottet, att den anmärkning, han förde i fält, är just huvudargumentet i herr Magnussons i Tumhult, herr Clasons m. fl. avslagsyrkande i 1910 års konstitutionsutskott, när den här frågan då behandlades. Man har nu från samma herrars sida anmärkt, att grundfelet i såväl min motion som i konstitutionsutskottets betänkande skulle vara, att man såge kyrkan såsom en statsinstitution, en sida av statens organiserade verksamhet. Hur hette det då i herrarnas eget utlåtande från 1910? Jo, ordagrant så här:</w:t>
        <w:br/>
        <w:br/>
        <w:t>» Kyrkomötet representerar den svenska statskyrkan, men denna kyrka består givetvis icke endast av sin tjänstemannakår, prästerskapet, utan av det svenska folket, försåvitt det är anslutet till samma kyrka. Liksom det svenska folket i politiskt avseende har sin representation i riksdagen, så har samma folk, i den mån det tillhör statskyrkan, sin representation i kyrkomötet.»</w:t>
        <w:br/>
        <w:br/>
        <w:t>Jag får säga: kan tydligare och klarare från herrarnas sida fastslås precis den tankegång, som ligger under såväl min motion som konstitutionsutskottets hemställan?</w:t>
        <w:br/>
        <w:br/>
        <w:t>Vidare råkar det också vara så olyckligt, att just den punkt, som herr Forssell nu ägnat sin historiska lärdom, nämligen frågan huruvida här föreligger ett vederlag eller icke, den punkten är också ifrån precis samma uppfattning som den i min motion utvecklade av dessa herrar högerreservanter 1910. Och jag kan tillägga, att nog är det egendomligt, att herr Forssell vill på den här punkten jäva sin egen lärofader professor Rudolf Kjellén, som i en uppsats i Det nya Sverige år 1910 har medgivit, att det är att betrakta som ett vederlag vid representationsraformens genomförande. Likaså har professor Gränström i sin avhandling om det svenska prästeståndets sista strid fastslaget samma sak. Sammalunda har också saken vitsordats av doktor Sigurd Hanson i hans arbete om kyrkomötesinstitutionens uppkomst och historia. Jag har icke hört någon mer än herr Forssell (och hans medreservanter i konstitutionsutskottet) som vill förneka det faktum, att kyrkomötesinstitutionen och enkannerligen ve-</w:t>
        <w:br/>
        <w:br/>
        <w:t>torätten gavs såsom detta vederlag. Och hör nu på, herr Forssell, Ang. ändrad huru det låter i 1910 års konstitutionsutskott av hans egna högerlydelse av $$</w:t>
        <w:br/>
        <w:br/>
        <w:t>kommittenter, som dikterat utskottets utlåtande. Man anför först IgG Louis de Geers ord om grundlagsändringen och fortsätter: (Forts.)</w:t>
        <w:br/>
        <w:br/>
        <w:t>» Dessa justitiestatsministerns motiv visa sålunda otvetydigt, alt kyrkomötets medbeslutanderätt i kyrkolagsfrågor och i frågor rörande prästerskapels privilegier av honom föreslogs just med anledning av representationsförändringen och med hänsyn därtill, att genom densamma kyrkan upphörde att genom ett särskilt stånd vara representerad i nationalförsamlingen.»</w:t>
        <w:br/>
        <w:br/>
        <w:t>Detta är underskrivet, mina herrar, av bland andra herr Sam Clason och herr Magnusson i Tumhult. Nu ha vi hört, vad samma herrar säga 1 år, och vi ha då att rannsaka, vilka motiven kunna vara till att de så plötsligt sadlat om. Nu heter det i reservationen:</w:t>
        <w:br/>
        <w:br/>
        <w:t>»Lika felaktig som i fråga om den principiella utgångspunkten rörande förhållandet mellan kyrka och stat är, enligt vår mening, utskottets uppfattning av kyrkomötets veto såsom »en relikt av den gamla ståndsrepresentationen». Kyrkomötet är icke någon kvarleva av den gamla ståndsreperesentationen, utan det är en den svenska kyrkans representation och består av ett lika antal präster och lekmän», 0. S. V.</w:t>
        <w:br/>
        <w:br/>
        <w:t>Med avseende på frågan, huruvida kyrkomötet är att betrakta som en sida av statens organiserade verksamhet, börja herrar reservanter med att säga:</w:t>
        <w:br/>
        <w:br/>
        <w:t>» Utskottet, lika väl som motionären, utgår vid sitt bedömande av frågan om kyrkomötets medbestämmanderätt i kyrkolagsfrågor från den uppfattningen, att kyrka och stat principiellt sammanfalla, eller att kyrkan är, såsom utskottet uttrycker det, ”staten organiserad för dess religiösa verksamhet. Denna utgångspunkt är, enligt vår mening, felaktig.»</w:t>
        <w:br/>
        <w:br/>
        <w:t>Ja, det är Ju roligt, att man lär medan man lever. År 1910 fastslogs den motsatta utgångspunkten som riktig — år 1920 heter det, att den är felaktig.</w:t>
        <w:br/>
        <w:br/>
        <w:t>Vad kan nu anledningen vara till att man sadlat om? Ja, den som något följt med vad som passerat på det kyrkliga området på sista tiden, bör icke sväva i tvivelsmål därom. Här hölls ett kyrkligt möte i Stockholm i början på året, och där fick man höra av Svea rikes ärkebiskop och andra talare, att egentligen existerade icke någon statskyrka här i landet — det vore en missuppfattning på dc håll, där man vill statskyrkans avskaffande, hette det — utan i själva verket finnes här en fri kyrka. Och ärkebiskopen betecknade min stackars motion som ett attentat på den kristna åskådningen och såsom ett uttryck för moralisk jesuitism! Man kan i detta fall känna sig i ganska gott sällskap, när man ser på denna frågas förhistoria, när man ser, att den man här inom riksdagen, som långt bättre än herr Forssell och hans medkommittenter kände svensk grundlag, nämligen S. A. Hedin, alltid inom konstitutionsutskottet befann sig bland dem, som ville avskaffa detta kyrkomötets veto. Jag kan också till min vän herr Persson i Fritorp säga, att när han skall ci-</w:t>
        <w:br/>
        <w:br/>
        <w:t xml:space="preserve">Nu är det uppenbart, att den nya kyrkoteori, som man framskapat bland annat från ärkebiskopligt håll, håller också på att knäsättas av den höger, för vilken herr Forssell är en representant. Nu heter det, att kyrkan ingalunda är en statsinstitution och att </w:t>
      </w:r>
      <w:r>
        <w:rPr>
          <w:b/>
        </w:rPr>
        <w:t>hon²</w:t>
      </w:r>
      <w:r>
        <w:rPr>
          <w:b w:val="0"/>
        </w:rPr>
        <w:t xml:space="preserve"> följaktligen måste stå fri gentemot staten. Man fordrar alltså, att det förhållandet, att kyrkan skall stå fri gent emot staten, skall råda, samtidigt som kyrkans bekännelse skall av staten accenteras såsom en statsreligion, att kyrkans funktionärer skola vara statens ämbetsmän, tillsatta och avlönade av staten, att kyrkans verksamhet skall finansieras på statsväg, att kyrkan skall företrädas av statsdepartement alldeles som skolan, militärväsendet o. s. v., och att kyrkans lära skall hållas i helgd av alla medborgare med alla gällande hädelseparagrafer som påtryckningmedel. Ty, som herr Forssell vet, gäller det endast att slå vakt om statskyrkoläran, icke om frikyrkans lära. Vidare skall kyrkan genom kyrkomötet ha konstitutionell rätt att avgiva veto gent emot Konung och riksdag. Jag får säga, att när man å ena sidan framträder med anspråk, att kyrkan skall stå fri gentemot staten, men å andra sidan fordrar, att alla dessa förhållanden skola råda, då förstår jag icke, hur man kan upprätthålla anspråket på att resonera logiskt och konsekvent.</w:t>
        <w:br/>
        <w:br/>
        <w:t>Vad skulle då beviset vara för att kyrkan icke är en statsinstitution? Ja, från ärkebiskopens sida ha vi hört uttalas, att historiskt sett egentligen aldrig funnits någon svensk statskyrka. Den</w:t>
        <w:br/>
        <w:br/>
        <w:t>argumenteringen vill jag icke närmare gå in på — det medger icke tiden — jag vill blott erinra därom, att en svensk kyrkohistoriker,</w:t>
        <w:br/>
        <w:br/>
        <w:t>professor Linderholm, underkastat hela denna teori en fullständigt mördande och tillintetgörande kritik i ett par artiklar i Dagens Nyheter, och jag har sedan icke sett något försök från teologiskt håll att upprätthålla den ärkebiskopliga fiktionen.</w:t>
        <w:br/>
        <w:br/>
        <w:t>Men reservanterna och särskilt den reservation, som avgivits av herr Hallén, mena, att här icke finnes någon statskyrka i gammal mening, därför att medborgarna nu äro fria i sitt förhållande till kyrkan, och att rättigheterna gent emot kvrkan ökas alltjämt. Fastän antalet statsborgare, som tillhöra statskyrkan, oupphörligt skulle smälta samman — om man giver denna rätt att fritt utträda ur statskyrkan, som herr Hallén pekat på —- så skulle således i allt fall dess bekännelse vara statsreligion, dess lära hägnas med för alla gällande hädelseparagrafer, dess ämbetsmän vara statsämbetsmän, dess verksamhet finansieras på statsväg, dess angelägenheter handläggas genom ett särskilt departement, dess möte ha vetorätt gent emot Konung och riksdag! Ja, herr Forssell får ursäkta, om jag icke genomskådar det statsvetenskapliga skarpsinne, som vill försöka försvara en dylik tingens ordning. Det är fåfänga försök enligt min uppfattning att komma ur det dilemma, som måste råda, så länge vi ha en statsreligion, medan den religiösa och irreligiösa separatismen oupphörligt vinner terräng.</w:t>
        <w:br/>
        <w:br/>
        <w:t>Ty märk väl: enligt den splitter nya kyrkoteorien, för vilken Ang. ändrad också herr Forssell gjort sig till målsman, skall statens förhållande lydelse av $$ till kyrkan icke ha karaktären av dess förhållande till en statsinstiingsförna v tution, icke ha karaktären av en statens uppsiktsrätt över kyrkan (ports.) och icke heller ha karaktären av ett med dess förhållande till andra religiösa samfund likställt förhållande. Men ändå skola de kyrkliga organen vara statsorgan, ändå skola kyrkans funktionärer vara statens ämbetsmän och statsavlönade! — Förstå denna teori, den som kan! Jag hänför den till den grupp av omdömen, man karakteriserar som fyrkantiga cirklar.</w:t>
        <w:br/>
        <w:br/>
        <w:t>Problemets kärnpunkt är naturligtvis — och detta har förbisetts både av reservanterna och av herr Forssell — bestämmandet av vad som bör till kyrkolag, ty vetorätten gäller frågor, som hänföra sig till kyrkolagen. Här förefaller det, som om vi hade ett synnerligen auktoritativt uttalande av justitierådet Carleson, som, enligt vad de Geer uppger i sina »Minnen», var honom behjälplig vid redaktionen av de ifrågavarande punkterna i grundlagen vid representationsreformens genomförande, en man, som alltså måste ha haft klart för sig, vilken mening lades in i begreppet kyrkolag, när han formulerade detta i $$ 87 och 88 regeringsformen. Han har enligt ett protokoll, som är bifogat en kungl. proposition vid 1879 års riksdag, inom högsta domstolen utvecklat sin mening med avseende på kyrkolagsbegreppet, och där går hans resonemang ut på, att en lag över huvud måste betraktas som rättsbestämmelser, vilka skola lända till efterrättelse för samhällets medlemmar i allmänhet, och att en kyrkolag alltså utgör rättsbestämmelser beträffande statskyrkan, som lända samhällets medlemmar i allmänhet till efterrättelse. Bestämmelserna angå sålunda både staten och kyrkan och de avse dels kyrkans och statens gemensamma förhållanden, dels den enskilde statsborgarens förhållande till kyrkan.</w:t>
        <w:br/>
        <w:br/>
        <w:t>Bekräftelsen på, att justitierådet Carlesons uppfattning är riktig, ligger däri, att den s. k. »vttre kyrkorätten» får sammangå med vad man kallar kyrkolag, medan den »inre kyrkorätten» så gott som uteslutande skapas genom Konungens lagstiftningsmakt. Jag vill på den punkten gentemot herr Persson i Fritorp, då han gjorde en svartmålning beträffande de många ärender, som nu ligga under kyrkomötet men, om vetot avskaffades, skulle få lov att gå till ”iksdagen erinra, att alla de saker, som han berörde, äro sådana, som tillkomma genom Konungens administrativa lagstiftning, och där det sålunda icke heller under nuvarande förhållanden är fråga om att använda kyrkomötets veto. Jag vill vidare erinra om. att kyrkolag, om man ser den i motsättning till borgerlig lag, är sådan lag, som bestämmer om medlemskap 1 kyrkan, kyrkoförfattningen, kyrkoförvaltningen och dess organisation, kulten, kyrkodisciplinen samt kyrkans enskilda ekonomi. Till det kyrkliga lagstiftningsområdet får man alltså hänföra för det första de stadganden, varigenom kyrkan konstitueras som yttre rättssamfund — alltså medlemskap, författning och inre organisation —, för det andra stadganden om de kyrkliga ämbetena och tjänsterna och om de skyldigheter av kyrklig</w:t>
        <w:br/>
        <w:br/>
        <w:t>utövning samt kyrkodisciplinen, och för det fjärde lagstiftaing om kyrkooch andra församlingslivet tjänande byggnader liksom om kyrkans egendom över huvud. Det blir alltså endast inom den ramen, som kyrkomötets veto kan komma till användning enligt grundlagen.</w:t>
        <w:br/>
        <w:br/>
        <w:t>Jag ber nu få fästa uppmärksamheten på de områden, som otvivelaktigt måste undantagas från kyrkolagen. Det blir för det första alla stadganden, som upptagits i grundlag eller privilegier, för det andra bestämmelser av civil, kriminell eller ekonomisk-administrativ art, som överförts till allmän lag eller Konungens eget lagstiftningsområde, såsom angående trolovning och äktenskap (utom i vad rör själva ceremonien) samt prästgårdsoch kyrkobyggnad, vidare bestämmelser om straff för religionsbrott, om sjukvård, fattigvård och undervisning samt dissenterlagen. För det tredje äro undantagna de så kallade pastoral-teologiska råden, och för det fjärde liturgiska stadganden, som tillhöra Konungens administrativa lagstiftningsmakt. Frågor om bibelöversättning, psalmbok, evangeliibok, kyrkohandbok eller katekes höra ej till kyrkolagen. TI alla dessa frågor har kyrkomötet endast petitionsrätt men ingen som helst vetorätt gentemot Konung och riksdag. Jag ber särskilt att få trycka på detta, ty den argumentering, som riktats mot min motion och konstitutionsutskottets hemställan, har tagit till utgångspunkt föreställningen att man skulle beröva kyrkomötet vetorätt i särskilt de senast uppräknade frågorna. Förhållandet råkar alltså vara det, att just dessa frågor redan äro undantagna från kyrkolagen och följaktligen icke äro föremål för den vetorätt, som genom 87 $ regeringsformen tillerkännes kyrkomötet.</w:t>
        <w:br/>
        <w:br/>
        <w:t>Om vi se på den praxis, som ägt rum under tiden före kyrkomötets inrättande, skall man lägga märke till, att närmast efter 1809 förändringar i lagstiftningen om kyrkoärenden huvudsakligen skedde genom Konungen själv. Längre fram och till god del beroende på den agitation, som bedrevs av Thomander för att en gränsdragning skulle komma till stånd, företogos ändringar av kyrkolagen i regel med ständernas medverkan. Det är också att märka, att vare sig kyrkomötet har vetorätt eller icke, så har det i alla fall icke någon som helst rätt att taga initiativ i en fråga annat än genom petition till Konungen.</w:t>
        <w:br/>
        <w:br/>
        <w:t>Nu gäller det icke att ändra något i kyrkomötesförordningen. När man lyssnade till herr Persson i Yritorp, fick man den uppfattningen, att såväl motionen som konstitutionsutskottets utlåtande syftade till att sopa bort hela kyrkomötesinstitutionen, alltså även förordningen därom. Men kyrkomötet kvarstår med de i kyrkolagen bestämda funktionerna. som i huvudsak finnas angivna i kyrkomötesförordningens $$ 9 och 10. Det heter i 8 9: »Allmänt kyrkomöte tillkommer att upptaga kyrkliga mål, som Konungen till detsamma överlämnar eller varom fråga av någon dess ledamot väckes.&gt; Med dessa kyrkliga mål menas i kyrkomötesförordningen alla angelägen-</w:t>
        <w:br/>
        <w:br/>
        <w:t>heter, som direkt angå kyrkan. I övriga kyrkliga mål har kyrko- Ang. ändrad mötet endast att avge underdåniga utlåtanden, föreställningar eller lydelae dv 55 önskningar. 'T'ror någon av herrarna, att, om vi taga bort den Velo- ”ringsformen. rätt, som finnes angiven i regeringsformen, man ändrar ett jota i — (Forts kyrkomötets möjlighet att begagna den gamla petitionsvägen, där kyrkomötet så aktar nödigt? Ingen har ifrågasatt att avskaffa kyrkomötet som institution, utan vad det här gäller är att avskaffa den befogenhet hos kyrkomötet, som gör detta — och det vill jag hävda gentemot herr Forssells bestridande —L till medbestämmande statsmakt vid sidan av Konung och riksdag. Antag, att här, såsom ställts i utsikt i herr Halléns reservation, kommer till stånd ett massutträde ur svenska statskyrkan. Är det rimligt, att ett möte, som representerar endast en del av svenska folket, eller de till statskyrkan direkt anslutna, skulle ha vetorätt gentemot sådana beslut utav Konung och riksdag, som angå inte bara speciellt kyrkliga förhållanden, utan förhållanden, som äro så sammanflätade med bestämmelser av ceivilrättslig art, att de på det intimaste beröra både medborgare, som tillhöra statskyrkan, och dem, som stå utanför? Man kan icke leka kurra gömma med dessa fakta, och då blir det en orimlighet, att vetorätten skulle fortbestå. Det är så långt ifrån sant, som herr Forssell ville göra gällande, att utvecklingen till större självständighet från kyrkans sida gentemot statsmakterna skulle alldeles särskilt motivera vetorättens bibehållande, att den utvecklingen är ett bärande argument för vetots avskaffande. I samma mån den kyrkliga representationen fjärmar sig från folkrepresentationen, i samma mån den avspeglar allt mindre skikt av folkmeningen, är det uppenbart, att skälen för att ha kvar detta veto gentemot Konung och riksdag bli ytterligare reducerade. Man kan också säga, att ett avgörande bevis för att 87 $ med kyrkolag icke förstår vad ordet närmast kan synas innebära ha vi i den omständigheten, att en del av lagstiftningen rörande kyrkoärenden redan uppenbarligen faller under 89 8 regeringsformen. I första kammaren, där man bifallit konstitutionsutskottets hemställan, har gjorts gällande från motståndarsidan, att med vetots borttagande skulle uppstå faror för bekännelsen. Jag hänvisar i detta fall till den nämnda avhandlingen av doktor Sigurd Hansson om kyrkomötesinstitutionen. Han säger där bland annat följande beträffande frågan, huruvida bekännelsen skulle vara att räkna till kyrkolagstiftningen, där sålunda kyrkomötet kan utöva vetorätt: »Den mening har synts riktigast, som vid 1893 års kyrkomöte hävdades av C. J. Norrby och K. S. Husberg, nämligen, att om kyrkan vill avgiva en bekännelse om sin bekännelse, så bör detta ske på annat ställe än i kyrkolagen, ty i en kyrkolag må intet förekomma än vad som är lag, och den måste och kan icke annat än betraktas från juridisk synpunkt. Bekännelsen är ett uttryck för det kyrkliga trosmedvetandet, icke en lagformel. T kyrkolag måste stadgas, när en kyrkomedlem skall anses hava avfallit från kyrkan, när en kyrklig funktionär skall dömas hava lärt i strid med dess bekännelse, men ingenting mera. M. a. o. kyrkolagens bestämmelse om kyrkans lära skall vara en juridisk norm, användbar för att reg-</w:t>
        <w:br/>
        <w:br/>
        <w:t>lera i det yttre framträdande faktiska förhållanden, men den kan icke därutöver givas ett annat, mera andligt innehåll, kan ej vara en lag för kyrkan, tänkt såsom ett andligt samfund, såsom bekännelsen åsyftar det.»</w:t>
        <w:br/>
        <w:br/>
        <w:t>Denna uttolkning förefaller mig vara den enda rimliga, men därmed bortfalla också de invändningar man från nu ifrågavarande utgångspunkt rest gentemot borttagandet av vetorätten.</w:t>
        <w:br/>
        <w:br/>
        <w:t>Det förklarades av herr Persson i Fritorp, att vetot sannerligen icke blivit missbrukat. Det hade knappast kommit till användning, om man fick tro hans uppgifter. Jag förmodar, att herr Persson tagit reda på professor Kjelléns statistik i den där tidskriften, som Jag för en stund sedan omnämnde, och där han sammanför de fall, då kyrkomötets vetorätt kommit till användning. Han har uppdelat dem 1 förslag, som kommit från Kungl. Maj:t, från riksdagen och från båda statsmakterna. Hans statistik omfattar tiden 1868—1908. Jag tar här perioden 1868—1918. För denna period visar det sig, att vetorätten beträffande samtliga förslag använts i 21 fall av 96, eller ungefär 22 Zz. I fråga om Kungl. Maj:ts förslag har den kommit till användning i 13 fall av 42 eller ungefär 31 Zz. Om man ser på riksdagsinitiativ, begagnades vetot i 4 fall av 15 eller nära 27 2, och beträffande förslag, som antagits av bägge statsmakterna, har vetorätten använts i 4 fall av 39 eller ungefär 10 Zz. För samtliga kyrkolagsförslag under den ifrågavarande tiden blir statistiken vad angår Kungl. Maj:ts förslag, att vetot kommit till användning 19 fall av 24, beträffande riksdagens förslag i 2 fall av 11 samt beträffande av Kungl. Maj:t och riksdagen antagna förslag i 3 fall av 16. Vad gäller förslag angående privilegier har vetorätten kommit till användning i fråga om Kungl. Maj:ts förslag i 4 fall av 18. i fråga om riksdagens förslag i 2 fall av 4 och beträffande Kungl. Maj:ts och riksdagens gemensamma förslag i 1 fall av 23. För samtliga förslag av privilegienatur har vetot använts i 7 fall av 45 eller 15 14 4, och vad angår samtliga förslag av kyrkolagsnatur, har det använts i 14 fall av 51 eller drygt 27 «4.</w:t>
        <w:br/>
        <w:br/>
        <w:t>Ja, herr Persson i Fritorp, jag tror, att man skall vara ganska välvillig, om man inför denna meritförteckning på hur kyrkomötet använt vetorätten, skall kunna stå i andra kammaren och förklara, att någon nämnvärd användning därav icke förekommit. Sanningen torde vara den rakt motsatta, ty det har funnits fall, då vetorätten använts så, att det varit ett slag i ansiktet på både Kungl. Maj:t och riksdagen. Det borde därför icke råda någon som helst tvekan om att, därest man vill undgå att ha denna då och då framskymtande tredje statsmakt, den vetorätt, som kyrkomötet äger, är en kvarleva, som är orimlig och därför måste avskaffas. Jag vill tillägga, att vi här hemma borde söka oss fram efter enahanda linjer, som man fölit i Finland, där genom 1845 års förslag gavs en utförlig beskrivning på det område, inom vilket kyrkolagstiftningen har att röra sig med utgångspunkt i kyrkens egenskap av yttre rättssamfund. Har man lagt frågan så, som konstitutionsutskottet här giort, är det min uppfattning, att vi just för den boskillnad mellan civillag och</w:t>
        <w:br/>
        <w:br/>
        <w:t>kyrkolag, som vi vilja ha till stånd, borde beakta det finska förslaget Ang. ändrad av 1845. lydelse av Ss$ Jag skall, herr talman, icke längre upptaga tiden med denna intsförmee fråga. Jag vill bara, innan jag slutar, säga några ord till herr — (pars Forssell. Han antydde, att här låge grumliga motiv bakom — man ville statskyrkan till livs som kyrka — och därför gick man fram med att yrka på vetorättens avskaffande. På den punkten har jag endast att säga, att herr Forssell och jag nog stå på diametralt motsatta ståndpunkter angående kyrkan. Därom råder intet tvivel. Vi ha nog diametralt motsatta uppfattningar angående den roll, som kyrkan bör spela. Men jag är övertygad om, att vi borde kunna, såsom det heter, le emot varandra som augnrer, när herr Forssell därutöver låter framskymta, att det är religiös och kristlig nitälskan, som driver honom att höja ett varningens ord gentemot rubbandet av kyrkomötets veto. Jag tänker på den gamla verser av den tyske skalden Heine om dem, som i hemlighet dricka vin men offentligen predika vatten. Jag tror, att både herr Forssell och herr Lindman, vilken i ett föredrag i Strängnäs lät framskymta något liknande, borde akta sig för att för högerns del taga patent på religiositeten och moraliteten i detta land, ty då komma vi att lysa herrarna hem. Jag hoppas, att man i den fortsatta debatten icke måtte sjunga på de tonerna, då det gäller den här saken. Ty vad angår livsåskådningen och om man vill bygga den på religiös eller irreligiös, på kristlig eller annan grund, är huvudsaken, att man ärligen och redligen bygger upp en livsåskådning, men man skall icke söka misstänkliggöra andra därför att de enligt sin övertygelse föra fram förslag, som visst icke ha syftning emot några verkliga religiösa livsvärden utan vilja avskaffa en anomali i grundlagen, avskaffa en bestämmelse, som hela utvecklingen från den tid, som förflutit, sedan bestämmelsen kom till, visat vara en orimlighet, som icke har motsvarats av omständigheternas fordringar. Jag ber därför, herr talman, ehuru jag helst önskat framställa ett yrkande på direkt bifall till min egen motion, att få yrka bifall till konstitutionsutskottets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1477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