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387</w:t>
      </w:r>
    </w:p>
    <w:p>
      <w:r>
        <w:rPr>
          <w:b/>
        </w:rPr>
        <w:t xml:space="preserve">Datum: </w:t>
      </w:r>
      <w:r>
        <w:t>1920-06-11</w:t>
      </w:r>
    </w:p>
    <w:p>
      <w:r>
        <w:rPr>
          <w:b/>
        </w:rPr>
        <w:t xml:space="preserve">Kammare: </w:t>
      </w:r>
      <w:r>
        <w:t>Första kammaren</w:t>
      </w:r>
    </w:p>
    <w:p>
      <w:r>
        <w:rPr>
          <w:b/>
        </w:rPr>
        <w:t xml:space="preserve">Antal yttranden: </w:t>
      </w:r>
      <w:r>
        <w:t>2</w:t>
      </w:r>
    </w:p>
    <w:p>
      <w:r>
        <w:rPr>
          <w:b/>
        </w:rPr>
        <w:t xml:space="preserve">Källa: </w:t>
      </w:r>
      <w:r>
        <w:t>Tal om Kvinnor: Annotated Corpus (doi:10.5281/zenodo.18211787), byggd på The Swedish Parliament Corpus (Yrjänäinen m.fl. 2024).</w:t>
      </w:r>
    </w:p>
    <w:p>
      <w:r>
        <w:rPr>
          <w:i/>
        </w:rPr>
        <w:t>Markerade ord: ¹ kvinna-ord, ² släktskaps- och tilltalsord, ³ yrkestitlar.</w:t>
      </w:r>
    </w:p>
    <w:p>
      <w:pPr>
        <w:pStyle w:val="Heading2"/>
      </w:pPr>
      <w:r>
        <w:t>1. Nils Alexanderson (Liberala samlingspartiet, man)</w:t>
      </w:r>
    </w:p>
    <w:p>
      <w:r>
        <w:rPr>
          <w:b w:val="0"/>
        </w:rPr>
        <w:t>Herr talman! Jag ber att få yrka avslag på förevarande förslag till grundlagsändring. Beträffande realskälen för detta mitt yrkande skall jag icke nu närmare ingå därpå. då de förut under debatten blivit berörda. Däremot ber Jag att få fästa mig vid det rent formella i den grundlagsändring som här är föreslagen till vilande. Den övergånigsbestämmelse, som här fogats till 14 $i riksdagsordningen, börjar så: »Skulle under den 4-års period, för vilken valen till andra kammaren år 1920 förrättats, en fullständig omreglering av rikets indelning i valkretsar antagas» o. s. v. Man förstår egentligen icke, varför förslagsställarna icke använt det fullkomligt detsamma innebärande, men enklare uttrycket: »Skulle under tiden från den 1 jan. 1921 till den 1 jan. 1925» etc. men säkerligen ha förslaosställarne icke trott, att deras förslag har denna innebörd, utan tro sig förmodligen genom sin formulering ha uppställt det villkor, att icke redan tidigare en omsättning på grund av nya val till andra kammaren ägt rum extra ordinem under perioden. Det är emellertid icke törhållandet, om man närmare tänker på ordalydelsen. » Den 4-års period, för vilken valen år 1920 förrättas,» räcker onekligen, vare sig det sker ett, två eller tre omval under perioden, alltid från den 1 jan. 1921 till den 1 jan. 1925.</w:t>
        <w:br/>
        <w:br/>
        <w:t>Vidare har man vid avfattningen tydligen ställt i tidsavseende på 1920 års ståndpunkt när man talar om, att valen skola komma att »förrättas» 1920. Då grundlagsändringen kan definitivt antagas tidigast år 1921, befinna sig emellertid 1920 års val redan i det förflutna.</w:t>
        <w:br/>
        <w:br/>
        <w:t>Förutsättningen är vidare, att en »fullständig» omreglering av rikets indelning i valkretsar skulle antagas. Det har redan påpekats av herr Stendahl, att det icke kan vara riktigt att överlämna till Kungl. Maj:t att bedöma huruvida en gjord omreglering skall betraktas såsom en »fullständig» sådan eller icke. Men felet rättas icke med den av honom förslagna ändringen; resultatet blir blott, att Kungl. Maj:t på annat sätt får frihet att bedöma, huruvida förutsättningen har uppfyllts eller icke. Även i fråga om interpunktion och dylikt äro här förbiseenden begångna, som vanpryda den föreslagna grundlagstex-- ten. Kanske har en föregående talare yrkat rättelse häri. Men av</w:t>
        <w:br/>
        <w:br/>
        <w:t>allt vad jag nu anmärkt mot texten, torde framgå att den icke befinner sig 1 det skick, som kräves av en grundlaostext.</w:t>
        <w:br/>
        <w:br/>
        <w:t>Jag har icke hunnit att närmare undersöka, huruvida det icke uppkommer några högst olägliga konsekvenser av att man helt enkelt upphäver bestämmelserna i 14 $ riksdagsordningen under vilka förutsättningar en stad skall bilda egen valkrets, respektive upphöra att bilda egen valkrets, men det förefaller möjligt att så är fallet. Skulle riksdagen antaga dessa grundlagsbestämmelser såsom vilande, måste avsikten väl vara, att de skola antagas definitivt strax i början av år 1921, då det ännu är osäkert, huruvida någon omreglering av rikets indelning 1 valkretsar kommer till stånd. Lydelsen av Övenrgångsbestämmelserna tyder ju på, att man tänkt sig att under alla förhållanden en grundlagsändring skall vara fullständigt genomförd först och att sedermera en omreglering skall komma att äga rum. Huruvida denna blir av, är dock icke alldeles säkert, och i så fall har man låtit ur 14 $ riksdagsordningen ett stadgande bortfalla, för vilket man icke vunnit nödig ersättning. Jag har som sagt icke hunnit att tillräckligt undersöka, huruvida det kan anföras något fullgiltigt försvar mot denna anmärkning. Men för mig synes det vara så mycket större anledning att man, då man icke kan överblicka vilka verkningarna rent lagtekniskt bli av denna tydligen en smula lättvindigt hopsvarvade grundlagsändring, icke heller bör antaga den som vilande. Jag anhåller att få yrka avslag.</w:t>
        <w:br/>
        <w:br/>
        <w:t>Skulle under den fyraårsperiod, för vilken valen till andra kammaren år 1920 förrättas, en sådan omreglering av rikets indelning i valkretsar antagas, varigenom antalet valkretsar väsentligt minskas, och därefter» o. s. v. lika med förslaget i herr Larséns m. fl. vid utlåtandet avgivna reservation, dock med rättande av två anmärkta tryckfel, i det att skiljetecknet komma skulle insättas dels å 13 raden nedifrån mellan orden »skall» och »utan» dels ock å 9 raden nedifrån mellan orden »folkmängdsuppgifter» och »ävensom».</w:t>
        <w:br/>
        <w:br/>
        <w:t xml:space="preserve">&gt;» Då jag anser att kostnaderna för framlidna </w:t>
      </w:r>
      <w:r>
        <w:rPr>
          <w:b/>
        </w:rPr>
        <w:t>Hennes²</w:t>
      </w:r>
      <w:r>
        <w:rPr>
          <w:b w:val="0"/>
        </w:rPr>
        <w:t xml:space="preserve"> Kungl. Höghet </w:t>
      </w:r>
      <w:r>
        <w:rPr>
          <w:b/>
        </w:rPr>
        <w:t>Kronprinsessan³</w:t>
      </w:r>
      <w:r>
        <w:rPr>
          <w:b w:val="0"/>
        </w:rPr>
        <w:t xml:space="preserve"> Margarets den 13 innevarande maj förrättade begravning lämpligen böra bestridas av statsmedel och jag har anledning antaga, att denna min mening jämväl motsvarar en inom den svenska folkrepresentationen allmänt förefintlig önskan att genom ett sådant beslut hedra den bortgångna furstinnans minne, har jag funnit mig böra föreslå, att proposition till riksdagen avlåtes om anvisande av för ändamålet erforderligt anslag.»</w:t>
      </w:r>
    </w:p>
    <w:p>
      <w:pPr>
        <w:pStyle w:val="Heading2"/>
      </w:pPr>
      <w:r>
        <w:t>2. Carl Winberg (Kilbomspartiet, man)</w:t>
      </w:r>
    </w:p>
    <w:p>
      <w:r>
        <w:rPr>
          <w:b w:val="0"/>
        </w:rPr>
        <w:t>Jag ber att i korthet vå yrka avslag på utskottets här föreliggande förslag, som sammanfaller med den kungl. propositionen, med uttalande av min överraskning över, att ett dylikt</w:t>
        <w:br/>
        <w:br/>
        <w:t xml:space="preserve">förslag över huvud taget kunnat föreläggas riksdagen av den nu varamde regeringen. Så vitt jag icke är illa underrättad, antog riksdagen, när en liknande fråga för några år sedan förelåg till; behandling, den" ståndpunkten, att riksdagen avslog ifrågavarande framställning. Skulle riksdagen i dag intaga en helt annan ståndpunkt bevisar det endast, att den icke i en sådan fråga som denna har någon som helst principiell ståndpunkt, utan endast låter tillfälliga stämningar avgöra, huruvida anslag av ifrågavarande art skola beviljas eller icke. För min personliga del är det avgörande, att Jag rent principiellt under inga förhållanden kam vara med om ett anslag av sådan art, som det här föreliggande, då jag anser, att inga allvarliga skäl tala för behovet av detta anslag. Härtill kommer även ett annat skäl, och det är, att jag tyckt mig finna, att de dispositioner, som här vidtagits i samband med vad här förekommit, varit av så pass omfattande och pompös art, att jag tror, att de gått betydligt över vad personen ifråga skulle önskat, i fall </w:t>
      </w:r>
      <w:r>
        <w:rPr>
          <w:b/>
        </w:rPr>
        <w:t>hon²</w:t>
      </w:r>
      <w:r>
        <w:rPr>
          <w:b w:val="0"/>
        </w:rPr>
        <w:t xml:space="preserve"> haft något att därvid säga. Dylikt kan icke vara ägnat att premieras genom att staten beviljar anslag för att täcka en del av kostnaden. Jag ber således att få yrka avslag.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387</dc:title>
  <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coreProperties>
</file>