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392</w:t>
      </w:r>
    </w:p>
    <w:p>
      <w:r>
        <w:rPr>
          <w:b/>
        </w:rPr>
        <w:t xml:space="preserve">Datum: </w:t>
      </w:r>
      <w:r>
        <w:t>1921-03-03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Axel Reuterskiöld (Utan partibeteckning, man)</w:t>
      </w:r>
    </w:p>
    <w:p>
      <w:r>
        <w:rPr>
          <w:b w:val="0"/>
        </w:rPr>
        <w:t>Jag ber att få förena mig i herr Stendahls yrkande om avslag på föreliggande förslag. Förslaget är icke endast i det av herr Stendahl påpekade förhållandet felaktigt, utan hela detta lagförslag är egentligen, såsom av handlingarna framgår, format med hänsyn till den i Stockholm gällande valordningen. Avfattnirigen är sådan, att den med avseende å en hel del paragrafer egentligen icke lämpar sig för andra orter än Stockholms stad. Jag vill endast såsom exempel peka på 4 $, som säger, att i fall så skulle anses nödvändigt kan staden av magistraten delas i lämpligt antal valdistrikt. Det är mycket lämpligt i Stockholm, där det finns flera valkretsar för stadsfullmäktigeval och två valkretsar för riksdagsmannaval och där i praxis distriktsindelning enligt lagen kompletteras av magistraten. Men för</w:t>
        <w:br/>
        <w:br/>
        <w:t>städer i allmänhet är över huvud taget omöjligt, att vid borgmästareval ens ifrågasätta mer än en enda valkrets. Jag vet icke, hur man i Stockholm tänker härom. Däremot vore det rimligt, att formuleringen angåve, att borgmästareval skulle ske såsom andra stadens val, i princip på allmän rådstuga. Och beträffande magistratens rätt att göra distriktsindelning, om det behövs, bör erinras att enligt vanliga regler skall stad vid stadsfullmäktigeval delas i kretsar, om den har mer än 10,000 röstberättigade invånare, och att kretsarna kunna tjäna som distrikt eller själva delas i distrikt, men en distriktsindelning får icke bestämmas av magistraten utan av Konungens befallningshavande. Det synes därför vara oriktigt, om distriktsindelningen skulle få bero uteslutande av magistraten vid det tillfälle då valet skall äga rum; den bör vara uppgjord i förväg och helst överensstämma med den indelning som gäller vid stadsfullmäktigeval. Möjligen invänder man att man stundom skulle kunna undgå distriktsindelning och därmed förenade kostnader genom att låta saken bero av magistraten. Men såsom av det i den kungl. propositionen relaterade förhållandet från t. ex. Malmö framgår, är det uppenbart, att praktiskt taget måste städer med över 10,000 röstberättigade alltid erhålla distriktsindelning,. och då kan jag icke förstå annat än att man bör hava det i överensstämmelse med vad som eljest gäller.</w:t>
        <w:br/>
        <w:br/>
        <w:t>Nu har utskottet sagt, att det har icke så stor betydelse, om det är en felaktig valmetod. Ja, från utskottets synpunkt, som tror, att den som fått absolut majoritet alltid kommer med på förslaget, kan jag förstå en sådant ståndpunkt. Men då det visats, att den som har absolut majoritet kan komma att stå helt utanför förslaget, förfaller utskottets motivering i detta stycke, såsom även herr Stendahl påpekade. Om utskottet icke penetrerat saken djupare, än att det tror, att en sådan situation icke kan inträffa, så förefaller det mig, att återremiss skulle vara befogad, men efter andra kammarens beslut skulle detta icke leda</w:t>
        <w:br/>
        <w:br/>
        <w:t>» till annat än en uppmaning till första kammaren att fatta beslut. Jag</w:t>
        <w:br/>
        <w:br/>
        <w:t>nödgas därför yrka avslag och har därtill även det skälet att hela frågan behöver ytterligare utredas.</w:t>
        <w:br/>
        <w:br/>
        <w:t>Det har sagts, att man önskar få enhetliga bestämmelser genom lag. Enhetliga bestämmelser äro vi redan på väg att få i allt större utsträckning genom de särskilda valordningar för olika städer, som Kungl. Maj:t tid efter annan efter gammal ordning med resp. städer själva fastställer, och Kungl. Maj:t har möjlighet att på administrativ väg fastställa enhetliga typer. Det målet kan således vinnas, oberoende av lagstiftning. Om lagstiftningen kommer något senare än i år och är god, förefaller det mig lyckosammare, än om den kommer i år och strax får göras om; ty det lär icke kunna bestridas, att den valordning som nu föreslås kan icke bliva bestående utan måste inom kort tid bliva föremål för omarbetning. Vid sådant förhållande och då det som vinnes genom en proportionell valmetod uppenbarligen också kan vinnas genom att Kungl. Maj:t i valordningarna föreskriver en proportionell valmetod, såsom det skett för Stockholm, synes det mig icke finnas</w:t>
        <w:br/>
        <w:br/>
        <w:t>något bärande skäl mot det avslagsyrkande som här framställts. Det Lagförslag</w:t>
        <w:br/>
        <w:br/>
        <w:t>finnes ett, och det är, att det vilande grundlagsförslaget väsentligen , 2” val av o mo oa ra S borgmästare</w:t>
        <w:br/>
        <w:br/>
        <w:t>beror av denna frågas lösning och att den tilltänkta grundlagsbestäm- ""n. fl</w:t>
        <w:br/>
        <w:br/>
        <w:t>melsen skulle sväva i luften om ej lagförslaget nu godkännes. Men (Forts.)</w:t>
        <w:br/>
        <w:br/>
        <w:t>ingen skada sker, om även grundlagsfrågan faller och den gamla lydelsen</w:t>
        <w:br/>
        <w:br/>
        <w:t>i grundlagen står kvar, och med den kunna vi gott reda oss, till dess</w:t>
        <w:br/>
        <w:br/>
        <w:t>ctt bättre förslag föreligger. Endast i en punkt medför det en viss be-</w:t>
        <w:br/>
        <w:br/>
        <w:t>tänklighet, och det är att det vilande grundlagsförslaget även gör</w:t>
        <w:br/>
        <w:br/>
      </w:r>
      <w:r>
        <w:rPr>
          <w:b/>
        </w:rPr>
        <w:t>kvinnor¹</w:t>
      </w:r>
      <w:r>
        <w:rPr>
          <w:b w:val="0"/>
        </w:rPr>
        <w:t xml:space="preserve"> valberättigade, men det finnes ingenting som hindrar konsti-</w:t>
        <w:br/>
        <w:br/>
        <w:t>tutionsutskottet att, därest frågan nu faller, redan i år framlägga ett</w:t>
        <w:br/>
        <w:br/>
        <w:t xml:space="preserve">förslag om denna enda ändring — om </w:t>
      </w:r>
      <w:r>
        <w:rPr>
          <w:b/>
        </w:rPr>
        <w:t>kvinnas¹</w:t>
      </w:r>
      <w:r>
        <w:rPr>
          <w:b w:val="0"/>
        </w:rPr>
        <w:t xml:space="preserve"> rösträtt vid borgmästare-</w:t>
        <w:br/>
        <w:br/>
        <w:t>val — och då jag förmodar, att andra kammaren till hösten blir upp-</w:t>
        <w:br/>
        <w:br/>
        <w:t>löst, blir frågan sedan avgjord 1922, i den riktning som det nu gäller.</w:t>
        <w:br/>
        <w:br/>
        <w:t xml:space="preserve">Om </w:t>
      </w:r>
      <w:r>
        <w:rPr>
          <w:b/>
        </w:rPr>
        <w:t>kvinnor¹</w:t>
      </w:r>
      <w:r>
        <w:rPr>
          <w:b w:val="0"/>
        </w:rPr>
        <w:t xml:space="preserve"> icke skulle vara röstberättigade vid något enda av det fåtal</w:t>
        <w:br/>
        <w:br/>
        <w:t>borgmästareval som dessförinnan kunna äga rum, tror jag att vinsten</w:t>
        <w:br/>
        <w:br/>
        <w:t>att få en genomarbetad och genomtänkt lag med verkligt användbar val-</w:t>
        <w:br/>
        <w:br/>
        <w:t>ordning för hela riket är större, än att frågan på detta sätt i en hast</w:t>
        <w:br/>
        <w:br/>
        <w:t>blir formellt avgjord.</w:t>
        <w:br/>
        <w:br/>
        <w:t>Herr vice talman, jag yrkar avslag på det föreliggande förslaget.</w:t>
      </w:r>
    </w:p>
    <w:p>
      <w:pPr>
        <w:pStyle w:val="Heading2"/>
      </w:pPr>
      <w:r>
        <w:t>2. Jacob Larsson (Liberala samlingspartiet, man)</w:t>
      </w:r>
    </w:p>
    <w:p>
      <w:r>
        <w:rPr>
          <w:b w:val="0"/>
        </w:rPr>
        <w:t>Herr talman, mina herrar! Det förefaller mig egendomligt, att det nu göres så starka angrepp mot den föreslagna valmetoden, då det icke förekom några anmärkningar vid det tillfälle, då utkastet till denna lag förelåg såsom bilaga till Kungl. Maj:ts proposition om ändring av 31 $ regeringsformen. Det har varit ganska länge, som denna fråga förelegat till begrundande, och nu först, då vi stå färdiga att taga sista steget till att definitivt bekräfta den vilande grundlagsändringen, nu river man upp anmärkningar mot den föreslagna valmetoden. Jag bekänner villigt, att jag icke alls är sakkunnig i fråga om den proportionella valmetoden, och jag är livligt övertygad, att den ärade talaren på stockholmsbänken har på mycket rik erfarenhet grundade djupa insikter om den proportionella valmetodens irrgångar, så att jag vill därför icke frånkänna honom en viss auktoritet i sådana här frågor. Men jag undrar ändå, om icke både han och den siste ärade talaren i alla fall misstaga sig däri, att den kandidat, som har absolut majoritet bland de väljande, skulle falla utanför förslaget; de väljande hava ju i sin hand att under alla förhållanden bereda honom säker plats på förslaget och säker första plats på förslaget genom att uppföra endast hans namn på valsedeln. Lagförslaget lämnar ju öppet att på valsedeln uppföra ett, två eller tre namn. Och om det är så, att en stor väljarekår är ense om att på första förslagsrummet uppföra en viss person, är det icke svårt att bereda honom första förslagsrummet genom att rösta endast på honom. Det är också uppenbart, att det inom första lagutskottet icke var tillgång på någon expert i den proportionella valmetoden. Men vi må vara ursäktade, att vi anslutit oss till ett förslag, som var uppgjort av på detta område, efter</w:t>
        <w:br/>
        <w:br/>
        <w:t xml:space="preserve">vad jag antager, speciellt sakkunniga. Förslaget har därefter undergått behörig granskning och slutligen blivit av Kungl. Maj:t för riksdagen framlagt. Ett avslag nu skulle ju medföra, att den vilande grundlagsändringen fortfarande får vila, ty den förutsätter en av Konung och riksdag stiftad lag med enhetliga föreskrifter för hela riket beträffande borgmästareval. Det går således icke an att man, på sätt herr Reuterskiöld förmenar, fortfarande nöjer sig med dessa lokala valordningar, som av Kungl. Maj:t för särskilda städer äro fastställda. Nu menar herr Reuterskiöld, att det är ingen olycka skedd, om den vilande grundlagsändringen icke skulle antagas. Ja, därom kunna meningarna vara delade. Det är icke bara det, att </w:t>
      </w:r>
      <w:r>
        <w:rPr>
          <w:b/>
        </w:rPr>
        <w:t>kvinnorna¹</w:t>
      </w:r>
      <w:r>
        <w:rPr>
          <w:b w:val="0"/>
        </w:rPr>
        <w:t xml:space="preserve"> tills vidare bliva uteslutna från rösträtt, utan det är också det, att enligt den nya grundlagsändringen skall vid borgmästareval varje väljande äga en röst; såsom vi veta är det för närvarande så, att inom en hel del städer förefinnes det flerröstsystem. Jag tror således att, sedan nu andra kammaren med betydande majoritet antagit utskottets förslag, första kammaren gör klokt i att ansluta sig till samma beslut, som andra kammaren antagit, och jag ber därför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