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428</w:t>
      </w:r>
    </w:p>
    <w:p>
      <w:r>
        <w:rPr>
          <w:b/>
        </w:rPr>
        <w:t xml:space="preserve">Datum: </w:t>
      </w:r>
      <w:r>
        <w:t>1922-04-01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Larsson (Liberala samlingspartiet, man)</w:t>
      </w:r>
    </w:p>
    <w:p>
      <w:r>
        <w:rPr>
          <w:b w:val="0"/>
        </w:rPr>
        <w:t xml:space="preserve">Herr talman! - Även beträffande denna paragraf har jag ansett mig böra anmäla en reservation. Utskottet har strukit andra punkten i 24 $ i Kungl. Maj:ts förslag. Denna punkt avser, att för visst fall redaren skulle vara skyldig att åt avliden sjömans </w:t>
      </w:r>
      <w:r>
        <w:rPr>
          <w:b/>
        </w:rPr>
        <w:t>änka²</w:t>
      </w:r>
      <w:r>
        <w:rPr>
          <w:b w:val="0"/>
        </w:rPr>
        <w:t xml:space="preserve"> och minderåriga barn utgiva en viss tilläggshyra. Detta är den enda punkt, på vilken redarnes representant inom sjölagskommittén har anmält avvikande mening, och lagrådet har ju också avstyrkt den punkten. Lagrådet anser, och det har förut här utav utskottets ärade vice ordförande blivit påpekat, att man här vill införa en lagbestämmelse, som skulle sakna varje motsvarighet på andra jämförliga områden. Det är dock ett påstående, som nog tål att i viss mån modifieras. Det är visserligen sant, att lagstiftningen icke känner till någon så beskaffad understödsskyldighet för arbetsgivare, men man har ju icke utan skäl jämställt sjöfarten med exempelvis våra kommunikationsanstalter på land. Lagrådet erinrar också emot denna bestämmelse, att det finns andra, vilka kunna vara i lika hög grad utsatta för olyckshändelser som sjömännen, och lagrådet pekar då på järnvägsmännen. Men nu lärer, efter vad som upplysts inom utskottet, den omständigheten föreligga, att på avtalets</w:t>
        <w:br/>
        <w:br/>
        <w:t xml:space="preserve">väg enskilda järnvägsförvaltningar hava påtagit sig just en sådan förpliktelse gent emot avliden järnvägstjänstemans </w:t>
      </w:r>
      <w:r>
        <w:rPr>
          <w:b/>
        </w:rPr>
        <w:t>änka²</w:t>
      </w:r>
      <w:r>
        <w:rPr>
          <w:b w:val="0"/>
        </w:rPr>
        <w:t xml:space="preserve"> och oförsörjda barn, som den som här är föreslagen beträffande sjömän. Man är således icke alldeles utan exempel härpå. Denna fråga är ju förnämligast en humanitär fråga av ganska stor betydelse, och det är visserligen sant, att den slutgiltigt kanske kommer att lösas i samband med frågan om pensionering av änkor och barn efter sjömän; men det kan dock dröja ganska länge, innan denna pensioneringsfråga blir avgjord, och i avbidan härpå förefaller det mig dock vara ganska berättigat att här kräva, att redare, i vars tjänst en sjöman omkommit eller i vars tjänst han ådragit sig sådan sjukdom, att han därav avlider medan redaren ännu är skyldig att bestrida sjukvårdskostnaden för honom, får i den ganska begränsade omfattning det här är fråga om, lämna understöd åt sjömannens efterlevande </w:t>
      </w:r>
      <w:r>
        <w:rPr>
          <w:b/>
        </w:rPr>
        <w:t>änka²</w:t>
      </w:r>
      <w:r>
        <w:rPr>
          <w:b w:val="0"/>
        </w:rPr>
        <w:t xml:space="preserve"> och minderåriga barn. Detta fall är sannolikt icke så synnerligen ofta återkommande, men där det inträffar, där äro säkerligen också omständigheterna synnerligen behjärtansvärda.</w:t>
        <w:br/>
        <w:br/>
        <w:t>Därtill kommer, att det otvivelaktigt, såsom departementschefen har erinrat gentemot lagrådet, finnes en möjlighet för redaren att genom försäkring täcka sig även för en risk av denna beskaffenhet. Den ökade ekonomiska börda, som denna bestämmelse skulle lägga på redaren, skulle redaren således själv kunna begränsa till att avse allenast en försäkringspremie.</w:t>
        <w:br/>
        <w:br/>
        <w:t>Jag ber därför, herr talman, att få yrka beträffande andra stycket av denna paragraf, att kammaren, med avslag å utskottets hemställan, måtte godkänna nämnda stycke med den lydelse det har i Kungl. Maj:ts proposition.</w:t>
      </w:r>
    </w:p>
    <w:p>
      <w:pPr>
        <w:pStyle w:val="Heading2"/>
      </w:pPr>
      <w:r>
        <w:t>2. Carl Hederstierna (Första kammarens nationella parti, man)</w:t>
      </w:r>
    </w:p>
    <w:p>
      <w:r>
        <w:rPr>
          <w:b w:val="0"/>
        </w:rPr>
        <w:t xml:space="preserve">Den siste ärade talaren har ju själv erkänt, att det här i reservationen föreslagna, från Kungl. Maj:ts proposition upptagna stadgandet, som utskottet icke velat vara med om och som innebär, att en arbetsgivare skulle bli ålagd att utbetala ersättning till en hos honom anställd persons efterlevande </w:t>
      </w:r>
      <w:r>
        <w:rPr>
          <w:b/>
        </w:rPr>
        <w:t>änka²</w:t>
      </w:r>
      <w:r>
        <w:rPr>
          <w:b w:val="0"/>
        </w:rPr>
        <w:t xml:space="preserve"> och minderåriga barn, är någonting alldeles nytt i svensk rätt. Att då på detta speciella område införa en sådan särskild bestämmelse synes mig” ingalunda vara tillrådligt.</w:t>
        <w:br/>
        <w:br/>
        <w:t>Den siste ärade talaren har själv uppgivit, att det inom vissa privata företag, vid järnvägarna, skulle vara träffad en överenskommelse i sådan riktning, och det är väl också den rätta vägen att gå för att nå vad man vill vinna, men att staten på detta sätt skall ålägga rederierna i sådana fall en dylik särskild ersättningsskyldighet, som förefaller vara bra främmande för en lagbestämmelse, synes mig icke lämpligt.</w:t>
        <w:br/>
        <w:br/>
        <w:t>Jag hemställer därför om bifall till utskottets förslag oförändrat.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