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1586</w:t>
      </w:r>
    </w:p>
    <w:p>
      <w:r>
        <w:rPr>
          <w:b/>
        </w:rPr>
        <w:t xml:space="preserve">Datum: </w:t>
      </w:r>
      <w:r>
        <w:t>1923-01-17</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Arvid Lindman (Högerns riksdagsgrupp, man)</w:t>
      </w:r>
    </w:p>
    <w:p>
      <w:r>
        <w:rPr>
          <w:b w:val="0"/>
        </w:rPr>
        <w:t>Herr talman! Jag skulle egentligen vilja yttra mig någorlunda vidlyftigt, men jag förstår, att kammarens ledamöter äro ganska trötta, och då herr talmannen fattat det kloka beslutet att gå till slut med denna debatt i natt, skall jag försöka tillmötesgå hans önskningar genom att fatta mig så kort som möjligt. Jag skall endast inskränka mig till att göra några repliker gentemot de yttranden, som framkonunit från statsrådsbänken. Trots det utredande anförande, som herr finansministern höll, kan man icke komma ifrån, att huvudintrycket av ett studium av finansplanen blir, att den har vissa svagheter, och jag har icke gjort det påpekandet i annat syfte än att framhålla, att det finns sådana. Det kan vara lämpligt för oss själva i riksdagen, när det blir fråga om att väcka motioner, att vi sökt skaffa oss en inblick i detta förhållande, att finansplanen är ganska svag. Jag fäste mig särskilt vid en fråga, nämligen beräkningen av inkomstoch förmögenhetsskatten, som synes alltför sangvinisk, och jag påpekade, att riksräkenskapsverket i i sin första skrivelse upptagit en väsentligt lägre siffra. Nu framgår visserligen av statsverkspropositionen att en</w:t>
        <w:br/>
        <w:br/>
        <w:t>utredning i finansdepartementet blivit företagen och att den kommit Vid Tenuaed av till en högre siffra, 130 miljoner, än vad riksräkenskapsverket uröropositoKen: sprungligen gjort. Så gjorde riksräkenskapsverket en ny utredning, (Forts.) och vad jag fäste mig vid var, att den slutade på ett belopp av 127,2</w:t>
        <w:br/>
        <w:br/>
        <w:t>miljoner kronor, alltså nära nog det belopp, som finansdepartemen-</w:t>
        <w:br/>
        <w:br/>
        <w:t>tet kommit till. Jag lade särskilt märke till, att ifrågavarande do-</w:t>
        <w:br/>
        <w:br/>
        <w:t>kument i propositionen äro daterade samma dag, och därav trodde</w:t>
        <w:br/>
        <w:br/>
        <w:t>jag mig kunna draga den slutsatsen, att de hade framkommit genom</w:t>
        <w:br/>
        <w:br/>
        <w:t>något samarbete mellan finansdepartementets sakkunniga och riksräkenskapsverket, ett antagande, vilket just på grund av detta</w:t>
        <w:br/>
        <w:br/>
        <w:t>datum icke var så onaturligt.</w:t>
        <w:br/>
        <w:br/>
        <w:t>Herr finansministern talade vidare om kassafonden, och han framhöll, att denna hade behövt användas för många ändamål. Ja, jag är den förste att erkänna detta. Jag känner mycket väl till detta förhållande. Han förklarade också, att om han ville vara riktigt »finurlig», som han uttryckte sig, skulle han kunna tala om, att kassafonden vid vissa tidpunkter under året ägde mycket högre belopp, så att densamma kunde uppgå till t. ex. 200 miljoner kronor. Jag är övertygad om, att herr finansministern är mycket mera finurlig, så att han icke betraktar detta som en finurlighet, ty vad han nämnde var ju en mycket enkel sak, som var och en känner till. När jag talat om kassafonden, menar jag naturligtvis kassafonden sådan den är vid räkenskapsårets slut. Detta är den enda fasta punkt man har att hålla sig till.</w:t>
        <w:br/>
        <w:br/>
        <w:t>Vad frågan om rusdrycksinkomsterna angår, är det ju klart, att dessa kunna begagnas även i fortsättningen, under kommande år, så att därigenom åstadkommes icke den svaghet i budgeten, om vilken jag talade. Detta framhöll jag också mycket riktigt. Herr finansministern sade, att naturligtvis måste han liksom varje annan finansminister klämma åt rusdryckerna. Ja, det vill jag gärna vara med om att han må göra. Men det finns en liten hake därvidlag, som kan vara en smula betänklig, nämligen att i samma mån man klämmer för hårt till med beskattningen, så ökar man både smuggling och tillverkning av rusdrycker i hemmen.</w:t>
        <w:br/>
        <w:br/>
        <w:t>Sedan skulle jag vilja yttra ett par ord med anledning av det anförande, som herr statsrådet och chefen för försvarsdepartementet höll och däri han riktade sig mot vad jag hade sagt i ett visst avseende. Jag kan icke neka till, att när jag lyssnade till hans anförande och hörde honom tala om den starka försvarsvilja, som besjälar den socialdemokratiska ungdomsrörelsen, kände jag mig mycket glad över detta förhållande, och jag må säga, att den försvarsvilja, som framgick av herr försvarsministerns anförande i dag, i det fallet var för mig så mycket mera glädjande, som det inte är alltid vi få höra sådant tal från hans håll. Jag undrar i alla fall, om det sätt att uttrycka sig, som han i dag använde och som andades en viss grad av rättmätig harm mot dem som angripit honom, verkligen var så alldeles klädsamt. Om man sorgfälligt undersöker saken, skall man finna. att herr statsrådet Hansson undvikit att tala om det väsentligaste i denna fråga, nämligen den systematiska agitation, som ung-</w:t>
        <w:br/>
        <w:br/>
        <w:t>domskongressen planlade. Detta tycker jag är en ofantligt. viktig sak att taga i betraktande i förevarande fall. Enligt min mening borde statsrådet och chefen för försvarsdepartementet under sin närvaro under kongressen ha tillhållit denna ungdom liksom vilken annan ungdom som helst att undvika all agitation i kaserner och på lägerplatser. Detta hade varit det riktiga. Jag skulle vilja säga, såsom en talare gjorde på förmiddagen: tänk om alla började på samma sätt! Tänk om man från alla håll, från högerhåll, liberalt, socialdemokratiskt och kommunistiskt håll började bedriva en sådan agitation! Skulle detta verkligen vara lämpligt och riktigt? Landshövding Edén, som också yttrade sig i den riktningen, sade: tänk om någonting sådant kommit från en högerns krigsminister, en general! Ja, jag vet inte precis, varför han skulle tala om en högerns krigsminister. Jag kan säga: tänk om det kommit från en liberal krigsminister — det hade väl då ställt sig ungefär på samma sätt. Jag är alldeles övertygad om, att under sådana förhållanden skulle det ha rests en storm av ovilja och oväsen. I det fallet kan jag alltså fullkomligt instämma med herr Edén. Nej, det är det faktum. att man anbefaller och understödjer en regelrätt partipolitisk agitation, som är det betänkliga.</w:t>
        <w:br/>
        <w:br/>
        <w:t>Läser man vidare Gävlemotionen till den socialdemokratiska ungdomskongressen. som väl var den som låg till grund för reso'utionen vid denna kongress, finner man, att den går ut på att under militärtjänstgöringen såväl de värnpliktiga som de stamanställda skulle bearbetas inifrån. Det står i detta förslag. att man skulle klargöra, vilka former agitationen bör taga till undvikande av onödig kollision med krigslagarna eller förefintliga disciplinära bestämmelser. Jag fäster uppmärksamheten på uttrycket »onödiy». Skulle alltså en agitation kunna vara så nödvändig, att den måste bedrivas även i strid med krigslagarna eller disciplinära bestämmelser? Man får kanske fatta saken på detta sätt. I varje fall finner man härav, att man rör sig så nära kanten av det som är tillåtligt enligt krigslagarna, att man, om jag så får säga, verkligen tangerar gränsen mellan det tillåtna och det förbjudna.</w:t>
        <w:br/>
        <w:br/>
        <w:t>Herr statsrådet Hansson önskade bevis på, att det är en disciplinen undergrävande propaganda han främjat. Ja, just av den omständigheten, som jag nämnde, framgår det, att det skulle få finnas fall, då man komme att uppmana de värnpliktiga att icke lyda, och detta är för mig tillräckligt bevis på. att det är en disciplinen undergrävande sak det gäller. Det kan väl ändå icke vara meningen, att det. såsom herr statsrådet uttryckte sig på förmiddagen, finnes fall. då man inte behöver lyda. Detta skulle betyda, att under vissa omständigheter. under vissa förhållanden, t. ex. den socialdemokratiska ungdomen kunde få säga: nej. nu lyda vi inte, ty detta passar icke för oss! Och vid ett annat tillfälle skulle den kommunistiska ungdomen få säga på samma sätt: nej, vi lyda icke! Jag har icke kunnat fatta herr statsrådets anförande på förmiddagen på annat sätt än att han menar, att sådana förhållanden skulle kunna uppstå, och detta är alldeles tillräcklig anledning för mig att påstå, att</w:t>
        <w:br/>
        <w:br/>
        <w:t xml:space="preserve">hela denna agitation dock bottnar i en disciplinen undergrävande pro- Vid remiss av paganda. talsverka Till sist skulle jag vilja fästa mig vid vad herr statsrådet nämnpro ba ts men: de i slutet av sitt anförande, då han gav en liten inblick i vad diskus- (Forts) sionen kan röra sig om: bakom kulisserna på en dylik ungdomskongress, och i vilken han tycktes ha varit en intresserad deltagare. Jag syftar på diskussionen om vem som har förmånsrätt till klubbflickorna, de värnpliktiga eller de stamanställda. Det är ett upphöjt exempel på den omvårdnad om sitt ämbete han iakttager! Jag antager nämligen, att bland denna ungdom fanns det även värnpliktiga. — Jag förmodar detta, eftersom det rörde sig om en ungdomskongress. (Märk väl, herr statsråd, jag säger, ungdomskongress, icke ungdomsklubb, och jag hoppas herr statsrådet förstår, att jag utmärker mig för mera vetenskaplig noggrannhet därvidlag än han ville tillmäta professor Lindskog.) Det är förresten inte första gången herr statsrådet har berört frågan om klubbflickorna. Jag erinrar mig, att herr statsrådet 1 maj förlidet år uppmanade de värnpliktiga att taga sina </w:t>
      </w:r>
      <w:r>
        <w:rPr>
          <w:b/>
        </w:rPr>
        <w:t>flickor²</w:t>
      </w:r>
      <w:r>
        <w:rPr>
          <w:b w:val="0"/>
        </w:rPr>
        <w:t xml:space="preserve"> med sig och promenera på Djurgården. Jag tror inte, att jag här tager fel, även om herr statsrådet ruskar på huvudet. men det kan ju hända, att minnet slinter. Ja, hela denna inblick. som herr statsrådet gav i detta sistnämnda avseende, må stå i kammarens protokoll som ett kulturdokument. Slutligen skulle jag vilja rekommendera herr statsrådet att studera ett dekret, som utfärdades i mars i fjol av rikspresidenten Ebert i Tyskland — han är ju socialdemokrat av samma slag som herr statsrådet Hansson. Det står i detta. att soldaten får icke tillhöra politiska föreningar eller deltaga i politiska sammankomster, ty om så sker, följa åtal och straff.</w:t>
      </w:r>
    </w:p>
    <w:p>
      <w:pPr>
        <w:pStyle w:val="Heading2"/>
      </w:pPr>
      <w:r>
        <w:t>2. Per Albin Hansson (Socialdemokraterna, man)</w:t>
      </w:r>
    </w:p>
    <w:p>
      <w:r>
        <w:rPr>
          <w:b w:val="0"/>
        </w:rPr>
        <w:t>Herr talman! Jag skulle saklöst kunnat avstå från att replikera herr Lindman. men det bör dock konstateras, hurusom den stora angreppsbubblan till slut spruckit. Efter ungdomskongressen förde man i herr Lindmans partipress ett våldsamt svråk om den förfärliga synd som jag skulle ha begått. Nya Dagligt Allehanda ifrågasatte t. 0. m. -—- det var ett anförande av herr Lindman, tror jag. som gav anledning till detta uppslag — om jag inte rent av borde ställas inför riksrätt. Jag var alltså en synnerligen stor syndare och jag har här i dag erinrat om, vilka beskyllningar som riktades mot mig för att hava understött en försvarsfientlig, disciplinupplösande och olaglig agitation. Herr Lindman var också betydligt frejdigare i förmiddags, före mitt tal, än nu i repliken. där det hela krymper ihop till en liten undran, om det inte överhuvud taget är ett fel att aritation får bedrivas under värnpliktstiden och om inte denna agitation kan på något underligt sätt i sina verkningar beröra disciplinen. Detta är alltså vad som står kvar av det stora bullret! Så blir det ofta, när man får träffas mera öga mot öga och diskutera igenom sakerna. Jag vill också erinra om -— jag vet inte om herr</w:t>
        <w:br/>
        <w:br/>
        <w:t>Vid remiss av Lindskog är här närvarande — att det var en påtaglig skillnad</w:t>
        <w:br/>
        <w:br/>
        <w:t>mellan det tal denne höll i dag och det tal han höll vid elektorsvalen i Hälsingborg, där han sjöng i ungefär samma tonarter som högerpressen. Alltihop har sjunkit samman, och jag tror. att man skulle kunna tala om att det blivit en politisk pannkaka av det hela.</w:t>
        <w:br/>
        <w:br/>
        <w:t>Det är ett alldeles nytt spörsmål, som här väckts av herr Lindman, nämligen om förbud för militärer att tillhöra politiska organisationer. Jag undrar om herr Lindman verkligen är beredd att instämma med herr Ebert i detta avseende. Jag skulle förmoda att omsorgen om ett stort antal partimedlemmar skulle komma honom att bli rätt betänksam för egen del. För min del kan jag inte finna anledning att här i Sverige förorda ett sådant påbud. Jag har t. o. m. i tolerans gått så långt, att jag i ett fall, där en befattningshavare måst hos Kungl. Maj:t anhålla att få förena annan verksamhet med sin tjänst i armén, förordat tillstånd för en löjtnant att vara sekreterare i en av Allmänna Valmansförbundets avdelningar! Det finns — jag upprepar det -— ingen anledning att i vårt land införa ett förbud av samma art som i Tyskland. Förhållandena äro annorlunda i ett land, som ännu skakas av ryckningar efter världskrig och revolution.</w:t>
        <w:br/>
        <w:br/>
        <w:t>Beträffande den agitation, som enligt herr Lindman skulle kunna få så förfärliga former, skulle jag vilja ytterligare påpeka. att ungdomsförbundet existerat fem år. och ännu ha vi icke sett någonting av de faror, som skulle hota från dess sida. Jag vill också påminna om den redogörelse, som ungdomsförbundets ordförande lämnade över hur man tänkte sig ifrågavarande agitation. Denna skulle, enligt vad han uppgav, väsentligen bestå i inbjudningar att deltaga i klubbarnas möten. För min del skulle jag icke finna det vara någonting farligt, om även högern inbjöde manskapet till sina sammankomster och på det viset försökte få de värnpliktiga och stammanskapet förtrogna med högeridéerna. Den enda invändning jag möjligen skulle göra mot detta. vore, att det antagligen bleve bortkastade pengar. Resultatet bleve nog synnerligen magert. .</w:t>
        <w:br/>
        <w:br/>
        <w:t>Jag skall inte fästa mig vid herr Lindmans försök att i reträttens ögonblick rida upp på ord, på uttrycket »onödig» i den nu ryktbara Gävlemotionen. Med den kännedom jag har om hur motioner skrivas, vet jag att en dylik avfattning beror på, att man icke är lika slipad som vi i riksdagen att formulera meningarna. Herr Lindman försökte emellertid få till stånd ett samband mellan detta uttryck i motionen och mitt påpekande att en absolut lydnad icke kan uppnås. Herr Lindman försökte ge åt detta mitt yttrande den karaktär, att jag skulle talat om rätt vanliga fall. Det står dock uttryckligen i protokollet, dit mitt skrivna anförande lämnades, att utomordentliga pliktkollisioner kunna uppstå. Jag har alltså tydligt angivit, att jag avsett utomordentliga tillfällen, då människan kan ställas inför risken att taga ansvaret för att icke lyda. Det finnes ingenting i den agitation, vilken den socialdemokratiska ungdomsförbundet driver, som syftar till några uppmaningar till lyd-</w:t>
        <w:br/>
        <w:br/>
        <w:t>nadsvägran, och jag konstaterar, att de bevis, som jag efterlyste, totalt ha uteblivit.</w:t>
        <w:br/>
        <w:br/>
        <w:t xml:space="preserve">Naturligtvis kunde inte ens mitt yttrande i dag replikeras utan en liten — tillåt mig använda ordet — förvrängning, som jag tror dock icke avsiktlig. Herr Lindman påstod, att jag talat om förmånsrätten till klubbflickorna. Något sådant har Jag aldrig sagt, och om herr Lindman önskar att denna detalj skall stå kvar i protokollet som ett kulturdokument, blir det sannerligen inte till herr Lindmans ära, ty det är herr Lindman, som genast skyndat sig att lägga in i mitt yttrande en helt annan tankegång än som låg i detsamma. Jag har anfört episoden endast för att illustrera, hurusom en av de deltagare i ungdomskongressen, som av högerpressen utmålats som en fruktansvärd fiende till samhälle och disciplin, ändå bara var en helt vanlig ung man, som inte alls hade samhällsfarliga tankar. Mitt yttrande i sammanhang med första-maj-permissionen innehöll, herr Lindman, icke någon uppmaning till de värnpliktiga att gå ut med </w:t>
      </w:r>
      <w:r>
        <w:rPr>
          <w:b/>
        </w:rPr>
        <w:t>flickorna²</w:t>
      </w:r>
      <w:r>
        <w:rPr>
          <w:b w:val="0"/>
        </w:rPr>
        <w:t xml:space="preserve"> på Djurgården. Jag sade i stället, att detta är en sak som inte angår mig.</w:t>
        <w:br/>
        <w:br/>
        <w:t>Emellertid, herr Lindman, slutet gott, allting gott.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1586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