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469</w:t>
      </w:r>
    </w:p>
    <w:p>
      <w:r>
        <w:rPr>
          <w:b/>
        </w:rPr>
        <w:t xml:space="preserve">Datum: </w:t>
      </w:r>
      <w:r>
        <w:t>1924-04-30</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Bror Petren (Liberala riksdagspartiet, man)</w:t>
      </w:r>
    </w:p>
    <w:p>
      <w:r>
        <w:rPr>
          <w:b w:val="0"/>
        </w:rPr>
        <w:t>Då mitt namn står antecknat under en blank reservation vid denna punkt, anser jag mig skyldig att nämna några ord om anledningen därtill, så att det icke missförstås så, att jag skulle avse att motsätta mig själva det önskemål, vartill motionen syftar. Jag skall i största korthet angiva, huru frågan med mitt sätt att se den ligger före.</w:t>
        <w:br/>
        <w:br/>
        <w:t xml:space="preserve">Det är ju så, att enligt den allmänna pensionsförsäkringslagen förutsättes för närvarande invaliditet hos den person, till vilken pension eller liknande understöd skall utgå. Man har alltifrån lagstiftningens början å detta område varit inne på den frågan, huruvida man skulle kunna införa även pensionstillägg för barn. Det har varit kostnadsskäl, som förorsakat, att dylik barnpensionering från början ej medtagits, men man har sedan delvis genomfört saken år 1918 och år 1921. För närvarande gäller sålunda, att ifall en änkling eller </w:t>
      </w:r>
      <w:r>
        <w:rPr>
          <w:b/>
        </w:rPr>
        <w:t>änka²</w:t>
      </w:r>
      <w:r>
        <w:rPr>
          <w:b w:val="0"/>
        </w:rPr>
        <w:t xml:space="preserve"> eller frånskild make eller ogift </w:t>
      </w:r>
      <w:r>
        <w:rPr>
          <w:b/>
        </w:rPr>
        <w:t>kvinna¹</w:t>
      </w:r>
      <w:r>
        <w:rPr>
          <w:b w:val="0"/>
        </w:rPr>
        <w:t>, som är varaktigt oförmögen till arbete, har barn under 15 år att försörja, ha de rätt att utfå barntillägg av intill 102 kronor per år för varje sådant barn. Samma rätt har ock ogift man med avseende å adoptivbarn och även äkta makar, då mannen är varaktigt oförmögen till arbete. |</w:t>
        <w:br/>
        <w:br/>
        <w:t xml:space="preserve">Nu säga motionärerna, att när en invalid man dör, efterlämnande </w:t>
      </w:r>
      <w:r>
        <w:rPr>
          <w:b/>
        </w:rPr>
        <w:t>änka²</w:t>
      </w:r>
      <w:r>
        <w:rPr>
          <w:b w:val="0"/>
        </w:rPr>
        <w:t>, och familjens huvudsakliga inkomst kanske varit just barntilläggen åt makarnas barn, så är det ett missförhållande, att barntilläggen vid mannens frånfälle upp-</w:t>
        <w:br/>
        <w:br/>
        <w:t xml:space="preserve">höra att utgå. </w:t>
      </w:r>
      <w:r>
        <w:rPr>
          <w:b/>
        </w:rPr>
        <w:t>Änkan²</w:t>
      </w:r>
      <w:r>
        <w:rPr>
          <w:b w:val="0"/>
        </w:rPr>
        <w:t xml:space="preserve"> har lika stort behov av barntilläggen för familjens existens efteråt som förut. Detta är i och för sig en helt naturlig tankegång och ingenting synes vara att säga mot densamma. Men om man något närmare ser på denna fråga, så finner man, att förslaget innebär ett frångående av den hittills tillämpade principen om invaliditet såsom förutsättning för rätt till barntillägg. Och därmed är man, på sätt pensionsstyrelsen anmärkt, inne på frågan om barnpension i allmänhet. Av denna större fråga är det föreliggande förslaget om barnpensions utgående till </w:t>
      </w:r>
      <w:r>
        <w:rPr>
          <w:b/>
        </w:rPr>
        <w:t>änka²</w:t>
      </w:r>
      <w:r>
        <w:rPr>
          <w:b w:val="0"/>
        </w:rPr>
        <w:t xml:space="preserve"> efter invalid man endast en mindre del, och det synes mig icke vara rationellt att fristående upptaga denna till lösning. Lika väl som en </w:t>
      </w:r>
      <w:r>
        <w:rPr>
          <w:b/>
        </w:rPr>
        <w:t>änka²</w:t>
      </w:r>
      <w:r>
        <w:rPr>
          <w:b w:val="0"/>
        </w:rPr>
        <w:t xml:space="preserve"> efter invalid man icke förstår, varför barntillägg skall upphöra att utgå, när den invalide mannen dör, lika omöjligt är det för andra medellösa änkor att förstå, varför icke de efter sina mäns frånfälle skola hava samma rätt till barntillägg för sina minderåriga barn, då de kanske ofta allt efter barnens antal etc. sitta i än sämre och brydsammare ställning än de änkor, vilkas män voro invalider, när de dogo. Pensionsstyrelsen har också i sitt yttrande över motionen sagt ifrån, att när man släpper invaliditet såsom förutsättning för rätt till utfående av barntillägg, står man i själva verket inför frågan om barnpension i allmänhet.</w:t>
        <w:br/>
        <w:br/>
        <w:t xml:space="preserve">Då är frågan: huru ligger denna sak till i detta nu? Jo, andra kammaren har vid tvenne riksdagar — 1919 och 1920 — beslutat om en skrivelse till Kungl. Maj:t med framhållande att beträffande barn till änkor, som äro i dålig ekonomisk ställning, är det samhällets plikt att söka ordna det med understöd till barnens underhåll och uppfostran utan fattigvårdsverkan. Första kammaren har emellertid vid dessa motioners prövning ansett att fattigvårdslagstiftningskommitténs betänkande i avseende &amp; barnavården borde avvaktas, innan ståndpunkt tages till frågan. När detta betänkande kom under loppet av år 1921, innehöll det bestämmelsen, att barnavårdsnämnderna skulle hava att lämna änkor det bidrag, som behövdes för deras minderåriga barns erforderliga vård. Samtidigt uttalade kommitterade i sin motivering, att »den väg, på vilken man hos oss i främsta rummet ansett ett hjälpande av änkorna och deras barn böra åstadkommas, är genom pensionsförsäkring. Utan tvivel är ock denna väg den, som mest skulle motsvara sakens natur och på bästa sätt tillgodose behovet.&gt; Men det finnes sades det i nuvarande lagstiftning endast i mindre utsträckning sörjt för hjälp i denna form, nämligen till änkor efter invalida män. Därför har man i betänkandet föreslagit den provisoriska anordningen, att barnavårdsnämnderna skulle hava att åt änkor lämna de bidrag, som krävdes för att de skulle kunna giva sina minderåriga barn erforderlig vård. När propositionen i ämnet nu i år kom, voro emellertid bestämmelserna härom ej medtagna. Men det har med anledning av propositionen väckts en motion av </w:t>
      </w:r>
      <w:r>
        <w:rPr>
          <w:b/>
        </w:rPr>
        <w:t>fru²</w:t>
      </w:r>
      <w:r>
        <w:rPr>
          <w:b w:val="0"/>
        </w:rPr>
        <w:t xml:space="preserve"> Östlund i andra kammaren, vari </w:t>
      </w:r>
      <w:r>
        <w:rPr>
          <w:b/>
        </w:rPr>
        <w:t>hon²</w:t>
      </w:r>
      <w:r>
        <w:rPr>
          <w:b w:val="0"/>
        </w:rPr>
        <w:t xml:space="preserve"> tagit upp andrakammarkravet från 1919 och 1920 och, med framställande av samma yrkande, som nämnda kammare då biträtt, anhållit, att Kungl. Maj:t måtte låta verkställa utredning, på vilket sätt och efter vilka grunder understöd till änkors barn för framtiden lämpligast måtte kunna beredas, ävensom för riksdagen skyndsamt framlägga det förslag, utredningen kunde föranleda. Nu är det min uppfattning, att denna väg är den man bör gå. Den griper i stort på frågan, och bakom kravet å en dylik allmän utredning ligger en mycket stark folkopinion. Då förefaller det mig, som om det icke vore riktigt rationellt att nu begränsa kravet å utredning endast till barn åt invalida män.</w:t>
        <w:br/>
        <w:br/>
        <w:t>Frågar man sig vad kostnaden skulle gå till för detta mindre grepp, som föreslås av motionären, visar utredningen en summa av en miljon kronor per år, när man om tio år kommit i jämviktsläge, varav då 3/, skulle komma att falla på statsverket.</w:t>
        <w:br/>
        <w:br/>
        <w:t xml:space="preserve">För min del har jag den avsikten, herr talman, att, när vi komma till </w:t>
      </w:r>
      <w:r>
        <w:rPr>
          <w:b/>
        </w:rPr>
        <w:t>fru²</w:t>
      </w:r>
      <w:r>
        <w:rPr>
          <w:b w:val="0"/>
        </w:rPr>
        <w:t xml:space="preserve"> Östlunds motion, yrka bifall till </w:t>
      </w:r>
      <w:r>
        <w:rPr>
          <w:b/>
        </w:rPr>
        <w:t>hennes²</w:t>
      </w:r>
      <w:r>
        <w:rPr>
          <w:b w:val="0"/>
        </w:rPr>
        <w:t xml:space="preserve"> skrivelseförslag, och jag anser, att man då i motiveringen därtill kan och bör omnämna den mindre omfattande framställning, som i nu förevarande motioner är gjord.</w:t>
        <w:br/>
        <w:br/>
        <w:t>Såsom ett uttryck för denna uppfattning, anser Jag mig, herr talman, nu ock formligen böra hemställa, att dessa motioner icke måtte föranleda någon riksdagens åtgärd.</w:t>
      </w:r>
    </w:p>
    <w:p>
      <w:pPr>
        <w:pStyle w:val="Heading2"/>
      </w:pPr>
      <w:r>
        <w:t>2. Halfred von Koch (–, man)</w:t>
      </w:r>
    </w:p>
    <w:p>
      <w:r>
        <w:rPr>
          <w:b w:val="0"/>
        </w:rPr>
        <w:t>Herr talman! Jag ber att få vitsorda, att den framställning, som här lämnats av utskottets ordförande angående sakens läge, är opartiskt gjord och alldeles korrekt, och jag har den övertygelsen om den förste ärade talaren, som har yrkat avslag å min motion, som nu avhandlas, att han har lika stort intresse för frågans lösning i framtiden som jag själv. Jag har emellertid en annan uppfattning än han så till vida, som jag tror, att man nu bör taga det steg för frågans lösning som är möjligt för att sedan taga ett nytt steg.</w:t>
        <w:br/>
        <w:br/>
        <w:t xml:space="preserve">Min medmotionär, herr Gustafson i Kasenberg, som mycket ägnat sig åt denna sak och åt pensionsförsäkring i allmänhet, har förklarat och jag har själv iakttagit det vid många tillfällen — att det är absolut omöjligt för dessa änkor efter invalida män att begripa, varför de, när deras män dö, skola fråntagas sitt barntillägg. De ha kommit till pensionsnämnden och undrat, vad meningen är. Pensionsstyrelsen har beviljat barntillägg. Barnen ha uppburit detsamma. När mannen dör är ställningen ofta — man kanske kan säga oftast — försämrad för familjen, men just då säga vederbörande, att, enligt bestämmelserna i pensionsförsäkringslagen, barntillägget utan vidare skall indragas. Nu säger visserligen utskottets ärade vice ordförande, att denna </w:t>
      </w:r>
      <w:r>
        <w:rPr>
          <w:b/>
        </w:rPr>
        <w:t>änka²</w:t>
      </w:r>
      <w:r>
        <w:rPr>
          <w:b w:val="0"/>
        </w:rPr>
        <w:t xml:space="preserve"> och </w:t>
      </w:r>
      <w:r>
        <w:rPr>
          <w:b/>
        </w:rPr>
        <w:t>hennes²</w:t>
      </w:r>
      <w:r>
        <w:rPr>
          <w:b w:val="0"/>
        </w:rPr>
        <w:t xml:space="preserve"> barn icke ha det sämre ställt än andra ensamstående änkor, som ha barn att försörja, men det råder dock den skillnaden, att åt dessa änkor efter invalida män ha för deras barn dock en gång erhållits ett barntillägg, som nu fråntages dem, när </w:t>
      </w:r>
      <w:r>
        <w:rPr>
          <w:b/>
        </w:rPr>
        <w:t>änkan²</w:t>
      </w:r>
      <w:r>
        <w:rPr>
          <w:b w:val="0"/>
        </w:rPr>
        <w:t xml:space="preserve"> står ensam i världen. De andra ha ofta stått i en svår situation, men de ha dock icke blivit delaktiga av pensionens välsignelse. J ag tror också, att det, för pensionsförsäkringens framtida utvidgande, är lämpligt, att denna fråga nu upptages till prövning, och som kammaren ser, har pensionsstyrelsen ställt sig mycket intresserad gentemot densamma och har ingenting emot en utredning.</w:t>
        <w:br/>
        <w:br/>
        <w:t xml:space="preserve">Men det är också i ett annat avseende som jag har en annan uppfattning än den föregående ärade talaren. Jag tror nämligen, att det förefinnes en mycket stor skillnad mellan det relativt lilla förslag, som här föreligger, och det andra, som går ut på att lösa hela </w:t>
      </w:r>
      <w:r>
        <w:rPr>
          <w:b/>
        </w:rPr>
        <w:t>änkebarnpensioneringsfrågan²</w:t>
      </w:r>
      <w:r>
        <w:rPr>
          <w:b w:val="0"/>
        </w:rPr>
        <w:t xml:space="preserve"> i Sverige. Det här,</w:t>
        <w:br/>
        <w:br/>
        <w:t>herr talman, är en jämförelsevis liten utveckling av den gällande pensionsför-.</w:t>
        <w:br/>
        <w:br/>
        <w:t xml:space="preserve">säkringslagen, en förändring, en modifikation, visserligen med vissa kostnader, som kunna övervinnas utan några administrativa svårigheter, utan någon långt gående utredning. Den andra frågan, om barnpensionering i allmänhet, är en annan fråga, som verkligen tål mycket noggrant övervägande. Först och främst är det så, att det kan vara tal om vilken väg man får gå, folkpensioneringsvägen eller understödsvägen. Motionärerna ha ju gått understödsvägen — jag tänker på motionären </w:t>
      </w:r>
      <w:r>
        <w:rPr>
          <w:b/>
        </w:rPr>
        <w:t>fru²</w:t>
      </w:r>
      <w:r>
        <w:rPr>
          <w:b w:val="0"/>
        </w:rPr>
        <w:t xml:space="preserve"> Östlund m. fl. Men det kan ju tänkas, att det är rimligt att gå folkpensioneringsvägen. Det är sålunda först och främst ett avvägande, vilken väg man skall följa, och för det andra är det naturligt, att detta medför en ofantligt stor kostnadssumma. Det lär icke finnas någon kostnadsberäkning för denna sak, men det säger sig självt, att detta blir en fråga av mycket stora mått, kanske på tiotals miljoner kronor, och pensionsstyrelsen har i sitt yttrande angående lagen om samhällets barnavård uttalat, att frågan om en utvidgning av pensionsförsäkringen att gälla änkor efter icke invalida män, sålunda alla</w:t>
        <w:br/>
        <w:br/>
        <w:t>änkor, som ha minderåriga barn, har varit behandlad av pensionsstyrelsen, men under nuvarande tryckta förhållanden torde enligt styrelsens åsikt föga utsikt förefinnas att få denna fråga löst i samband med pensionsförsäkringens spörsmål.</w:t>
        <w:br/>
        <w:br/>
        <w:t>Jag har anfört detta senare, icke därför att jag i detta ögonblick har intagit någon negativ ståndpunkt i denna stora fråga om barnpensionering i allmänhet, men emedan jag tror, att den bör bli föremål för särskilt övervägande i samband med den prövning, som pågår inom utskottet rörande barnavård i allmänhet. Det är ur denna synpunkt, tror jag, riktigt att nu lösa denna jämförelsevis mindre fråga, som kan lösas snabbt, och sedan taga itu med den större, vidlyftigare frågan.</w:t>
        <w:br/>
        <w:br/>
        <w:t>Jag ber att närmast på dessa grunder få yrka bifall till utskottets förslag.</w:t>
      </w:r>
    </w:p>
    <w:p>
      <w:pPr>
        <w:pStyle w:val="Heading2"/>
      </w:pPr>
      <w:r>
        <w:t>3. Hjalmar von Sydow (Första kammarens nationella parti, man)</w:t>
      </w:r>
    </w:p>
    <w:p>
      <w:r>
        <w:rPr>
          <w:b w:val="0"/>
        </w:rPr>
        <w:t xml:space="preserve">Herr greve och talman! Jag ber att få instämma med herr von Koch. Jag måste säga, att jag icke kan finna annat, än att det råder en väsentlig skillnad mellan det fall, då en invalid gift man, som har barntillägg för sina barn, dör och barntillägget med anledning av hans död blir indraget för </w:t>
      </w:r>
      <w:r>
        <w:rPr>
          <w:b/>
        </w:rPr>
        <w:t>änkan²</w:t>
      </w:r>
      <w:r>
        <w:rPr>
          <w:b w:val="0"/>
        </w:rPr>
        <w:t xml:space="preserve">, och det fall, att en </w:t>
      </w:r>
      <w:r>
        <w:rPr>
          <w:b/>
        </w:rPr>
        <w:t>änka²</w:t>
      </w:r>
      <w:r>
        <w:rPr>
          <w:b w:val="0"/>
        </w:rPr>
        <w:t xml:space="preserve"> i knappa omständigheter har att försörja barn, för vilka något barntillägg aldrig utgått. Det kännes vida hårdare att mista det man en gång fått, än att aldrig få någonting, och därför tycker jag, att särskilda skäl föreligga att tänka på herr von Kochs motion.</w:t>
        <w:br/>
        <w:br/>
        <w:t xml:space="preserve">Jag vill också säga, att ifall det vore så, att </w:t>
      </w:r>
      <w:r>
        <w:rPr>
          <w:b/>
        </w:rPr>
        <w:t>fru²</w:t>
      </w:r>
      <w:r>
        <w:rPr>
          <w:b w:val="0"/>
        </w:rPr>
        <w:t xml:space="preserve"> Östlunds motion om utredning angående pensionering av änkors barn i allmänhet vore bifallen, herr von Kochs motion enligt min tanke utan olägenhet kunde avslås — det funnes då ingen anledning att taga upp denna mindre fråga särskilt. Men nu är det icke så, och det synes mig ganska tvivelaktigt, om riksdagen verkligen kommer att våga sig på att officiellt giva sin anslutning till tanken på dylik barnpensionering. Denna fråga är ju av en utomordentligt stor omfattning, och kostnaderna för en sådan barnpensionering kunna mycket väl, såsom herr von Koch sade, komma att uppgå till 10,000,000 kronor om året eller något dylikt. Om man nu i anledning av </w:t>
      </w:r>
      <w:r>
        <w:rPr>
          <w:b/>
        </w:rPr>
        <w:t>fru²</w:t>
      </w:r>
      <w:r>
        <w:rPr>
          <w:b w:val="0"/>
        </w:rPr>
        <w:t xml:space="preserve"> Östlunds motion skulle avslå herr von Kochs motion och sedermera </w:t>
      </w:r>
      <w:r>
        <w:rPr>
          <w:b/>
        </w:rPr>
        <w:t>fru²</w:t>
      </w:r>
      <w:r>
        <w:rPr>
          <w:b w:val="0"/>
        </w:rPr>
        <w:t xml:space="preserve"> Östlunds motion också blir avslagen, så har man icke kommit. : någon väg alls i frågan. Skulle däremot bägge motionerna bifallas, så torde väl detta icke medföra några olägenheter utöver den formella oegentlighet, som möjligen ligger däri, att riksdagen bifaller först det mindre omfattande förslaget och sedan det mera omfattande, i vilket det första ingår.</w:t>
        <w:br/>
        <w:br/>
        <w:t>Som frågan nu ligger, anser jag, att densamma bäst främjas genom ett bifall till utskottets förslag, och jag skall därför, herr greve och talman, be att få yrka bifall till detta.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469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