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490</w:t>
      </w:r>
    </w:p>
    <w:p>
      <w:r>
        <w:rPr>
          <w:b/>
        </w:rPr>
        <w:t xml:space="preserve">Datum: </w:t>
      </w:r>
      <w:r>
        <w:t>1925-04-21</w:t>
      </w:r>
    </w:p>
    <w:p>
      <w:r>
        <w:rPr>
          <w:b/>
        </w:rPr>
        <w:t xml:space="preserve">Kammare: </w:t>
      </w:r>
      <w:r>
        <w:t>Första kammaren</w:t>
      </w:r>
    </w:p>
    <w:p>
      <w:r>
        <w:rPr>
          <w:b/>
        </w:rPr>
        <w:t xml:space="preserve">Antal yttranden: </w:t>
      </w:r>
      <w:r>
        <w:t>9</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Theodor Östergren (Socialdemokraterna, man)</w:t>
      </w:r>
    </w:p>
    <w:p>
      <w:r>
        <w:rPr>
          <w:b w:val="0"/>
        </w:rPr>
        <w:t xml:space="preserve">Herr talman! Jag har i den föreliggande punkten icke kunnat förena mig med utskottets slut. Jag har nämligen ansett, att i detta fall även någon </w:t>
      </w:r>
      <w:r>
        <w:rPr>
          <w:b/>
        </w:rPr>
        <w:t>änkepension²</w:t>
      </w:r>
      <w:r>
        <w:rPr>
          <w:b w:val="0"/>
        </w:rPr>
        <w:t xml:space="preserve"> borde ifrågakomma. Mannen till denna </w:t>
      </w:r>
      <w:r>
        <w:rPr>
          <w:b/>
        </w:rPr>
        <w:t>änka²</w:t>
      </w:r>
      <w:r>
        <w:rPr>
          <w:b w:val="0"/>
        </w:rPr>
        <w:t xml:space="preserve"> Andersson har varit anställd vid flottan i 27 år. Han antogs 1896 och kvarstod i oavbruten tjänst till slutet av 1923. År 1916 antogs han till förman och avdelningsföreståndare för den plats, som han under hela tiden varit anställd på, nämligen modellsnickariavdelningen. Han hade dessförinnan avlagt verkmästarexamen, så att han var kompetent till den befattning han blev utnämnd till. Arbetsstyrkan på den plats han var förman för varierade i regel mellan 10 och 14 personer och han var där kompetent till såväl arbete som ledarskap. Verkstadsingenjören, hans närmaste chef, yttrar om hans personlighet sålunda:</w:t>
        <w:br/>
        <w:br/>
        <w:t>»På grund av hans ställning som avdelningsföreståndare och på grund av hans fackmannaoch personliga egenskaper föreslog jag, som sedan den 1 juli 1918 varit hans arbetschef, honom till befordran till mästare och månadslönare, i likhet med vad de allra flesta andra avdelningsföreståndare äro, men på grund av de restriktiva bestämmelser för månadslönares anställande, som gällde på varvet, har mitt förslag ej vunnit bifall.</w:t>
        <w:br/>
        <w:br/>
        <w:t>Andersson fullgjorde sina åligganden med stor duglighet och aldrig svi-</w:t>
        <w:br/>
        <w:br/>
        <w:t>kande plikttrohet till full belåtenhet. Hans trogna strävan för det helas bästa gjorde samarbetet med kamrater synnerligen lätt. Hans uppförande vari allo hedrande.» o a</w:t>
        <w:br/>
        <w:br/>
        <w:t>Jag menar att med hänsyn till detta utlåtande från hans chef och den ställning han innehade är detta fall icke alldeles liktydigt med alla andra fall som förekomma. Det bör i någon mån, menar jag, berättiga hans efterlevande till någon sorts företräde till familjepension. Han skötte en mästaretjänst, men var icke befordrad. Denna tjänst hade, om han varit befordrad, berättigat familjen till den pension, som är tillförsäkrad underofficerare vid flottan.</w:t>
        <w:br/>
        <w:br/>
        <w:t xml:space="preserve">Under sådana förhållanden anser jag att </w:t>
      </w:r>
      <w:r>
        <w:rPr>
          <w:b/>
        </w:rPr>
        <w:t>änkan²</w:t>
      </w:r>
      <w:r>
        <w:rPr>
          <w:b w:val="0"/>
        </w:rPr>
        <w:t xml:space="preserve"> som sagt bör tilldelas något. Statskontoret har gått emot denna åsikt och har yttrat, att det inte förekommit något föregående fall av liknande art, varför statskontoret inskränkt sig till att föreslå pension endast åt barnen med 100 kronor vardera. Gentemot invändningen, att något behov av högre understöd åt denna familj icke föreligger, kan jag även åberopa det läkarintyg, som är bifogat motionen och där det meddelas, att ett av barnen lider av tuberkulos. Genom att </w:t>
      </w:r>
      <w:r>
        <w:rPr>
          <w:b/>
        </w:rPr>
        <w:t>kvinnan¹</w:t>
      </w:r>
      <w:r>
        <w:rPr>
          <w:b w:val="0"/>
        </w:rPr>
        <w:t xml:space="preserve"> har tre barn, varav ett sjukt, att underhålla och tillse, är </w:t>
      </w:r>
      <w:r>
        <w:rPr>
          <w:b/>
        </w:rPr>
        <w:t>hon²</w:t>
      </w:r>
      <w:r>
        <w:rPr>
          <w:b w:val="0"/>
        </w:rPr>
        <w:t xml:space="preserve"> förhindrad att i större utsträckning själv sörja för sig och sina barn. Som motiv till att såväl statskontoret som bankoutskottet avstyrkt framställningen åberopas den låga ålder </w:t>
      </w:r>
      <w:r>
        <w:rPr>
          <w:b/>
        </w:rPr>
        <w:t>hon²</w:t>
      </w:r>
      <w:r>
        <w:rPr>
          <w:b w:val="0"/>
        </w:rPr>
        <w:t xml:space="preserve"> innehar. </w:t>
      </w:r>
      <w:r>
        <w:rPr>
          <w:b/>
        </w:rPr>
        <w:t>Hon²</w:t>
      </w:r>
      <w:r>
        <w:rPr>
          <w:b w:val="0"/>
        </w:rPr>
        <w:t xml:space="preserve"> är 46 år eller på det 47:de. Men denna princip upprätthåller icke statskontoret i andra fall. Det har nämligen föreslagit familjepensioner till änkor med 3 eller 4 års yngre levnadsålder än den nu ifrågavarande, fastän icke till daglönares änkor utan till månadslönares, vilka sistnämnda dock icke haft högre ställning än vad denne man hade i sitt arbete.</w:t>
        <w:br/>
        <w:br/>
        <w:t xml:space="preserve">Bankoutskottet har icke i detta fall varit enigt. Jag är visserligen ensam reservant, men emot bankoutskottets förslag ha stått fyra. Vi ha varit två, som röstat emot, och två, som nedlagt sina röster på grund av att något liknande fall förut icke förekommit, där såväl </w:t>
      </w:r>
      <w:r>
        <w:rPr>
          <w:b/>
        </w:rPr>
        <w:t>änkepension²</w:t>
      </w:r>
      <w:r>
        <w:rPr>
          <w:b w:val="0"/>
        </w:rPr>
        <w:t xml:space="preserve"> som barnpension beviljats. Jag tror att här i alla fall är tillräckligt vägande skäl för att riksdagen skall bevilja detta lilla understöd, som jag föreslagit i reservationen, nämligen 200 kronor för </w:t>
      </w:r>
      <w:r>
        <w:rPr>
          <w:b/>
        </w:rPr>
        <w:t>änkan²</w:t>
      </w:r>
      <w:r>
        <w:rPr>
          <w:b w:val="0"/>
        </w:rPr>
        <w:t xml:space="preserve"> och 100 kronor för varje barn. Jag ber därför att få yrka bifall till reservationen.</w:t>
      </w:r>
    </w:p>
    <w:p>
      <w:pPr>
        <w:pStyle w:val="Heading2"/>
      </w:pPr>
      <w:r>
        <w:t>2. Axel Vindahl (–, man)</w:t>
      </w:r>
    </w:p>
    <w:p>
      <w:r>
        <w:rPr>
          <w:b w:val="0"/>
        </w:rPr>
        <w:t xml:space="preserve">Herr talman! TI ett sådant här ärende är det naturligtvis mycket motbjudande att stå upp och göra invändningar mot ett så jämförelsevis blygsamt understöd, som är föreslaget i reservationen. Åtminstone för utskottet har det emellertid funnits fullt bärande skäl för den ståndpunkt vi intagit. Motionären har med hänsyn till den anställning, som denna </w:t>
      </w:r>
      <w:r>
        <w:rPr>
          <w:b/>
        </w:rPr>
        <w:t>änkas²</w:t>
      </w:r>
      <w:r>
        <w:rPr>
          <w:b w:val="0"/>
        </w:rPr>
        <w:t xml:space="preserve"> man har haft och på grund av den tjänstetid han kunnat räkna i statens tjänst, ansett, att han borde ställas på en helt annan linje än som skett i övriga likmande fall. Enligt motionen har mannen haft en sådan ställning, att han varit förman, men av handlingarna framgår att han icke varit det; han har icke haft en sådan anställning, att han själv varit pensionsberättigad. Nu ha i vissa fall även änkor efter sådana befattningshavare, som själva icke haft pensionsrätt, av riksdagen beviljats mindre understöd, och även i detta fall har utskottet gJort som det brukar göra, nämligen gått till statskontoret för att höra dess mening. Av bankoutskottets utlåtande framgår mycket tydligt vad som är statskontorets mening. Det heter nämligen:</w:t>
        <w:br/>
        <w:br/>
        <w:t>» Visserligen har riksdagen i många fall beviljat årliga understöd åt änkor efter sådana befattningshavare i statens tjänst, vilka icke varit i tillfälle att sörja för sina efterlevande genom att ingå i någon av staten understödd kassa för familjepensionering. Men för beviljande av understöd av nu ifrågavarande slag har dock alltid såsom förutsättning gällt, att särskilt ömmande omstän-</w:t>
        <w:br/>
        <w:br/>
        <w:t xml:space="preserve">digheter kunna anses föreligga; och så har ansetts vara förhållandet, då </w:t>
      </w:r>
      <w:r>
        <w:rPr>
          <w:b/>
        </w:rPr>
        <w:t>änka²</w:t>
      </w:r>
      <w:r>
        <w:rPr>
          <w:b w:val="0"/>
        </w:rPr>
        <w:t xml:space="preserve"> varit antingen till följd av hög ålder eller på grund av sjukdom oförmögen till arbete och tillika befunnits vara medellös och i saknad av anhöriga, som ansetts kunna och böra draga försorg om </w:t>
      </w:r>
      <w:r>
        <w:rPr>
          <w:b/>
        </w:rPr>
        <w:t>henne²</w:t>
      </w:r>
      <w:r>
        <w:rPr>
          <w:b w:val="0"/>
        </w:rPr>
        <w:t xml:space="preserve">. Där det icke blivit styrkt, att dylika särskilt ömmande förhållanden förelegat, har det ansetts betänkligt att av statsmedel bereda </w:t>
      </w:r>
      <w:r>
        <w:rPr>
          <w:b/>
        </w:rPr>
        <w:t>änkepension²</w:t>
      </w:r>
      <w:r>
        <w:rPr>
          <w:b w:val="0"/>
        </w:rPr>
        <w:t>.»</w:t>
        <w:br/>
        <w:br/>
        <w:t xml:space="preserve">För att i alla fall göra något har riksdagen i flera fall i stället för </w:t>
      </w:r>
      <w:r>
        <w:rPr>
          <w:b/>
        </w:rPr>
        <w:t>änkepension²</w:t>
      </w:r>
      <w:r>
        <w:rPr>
          <w:b w:val="0"/>
        </w:rPr>
        <w:t xml:space="preserve"> berett de efterlevande, där det funnits minderåriga barn, ett understöd åt barnen, tills dessa uppnått viss ålder, nämligen 18 år. I detta fall har då utskottet följt den mening, som tidigare tillämpats i riksdagen, den mening, som också är uttalad av statskontoret. Men reservanten, herr Östergren, föreslår i stället, att man skall gå in på en helt annan princip och bevilja såväl </w:t>
      </w:r>
      <w:r>
        <w:rPr>
          <w:b/>
        </w:rPr>
        <w:t>änkan²</w:t>
      </w:r>
      <w:r>
        <w:rPr>
          <w:b w:val="0"/>
        </w:rPr>
        <w:t xml:space="preserve"> som barnen understöd i fortsättningen. Det kan väl ändå inte vara riktigt lämpligt, att, då befattningshavaren själv icke haft rätt att uppbära pension, man skulle bereda hans efterlevande såväl </w:t>
      </w:r>
      <w:r>
        <w:rPr>
          <w:b/>
        </w:rPr>
        <w:t>änkepension²</w:t>
      </w:r>
      <w:r>
        <w:rPr>
          <w:b w:val="0"/>
        </w:rPr>
        <w:t xml:space="preserve"> som understöd åt barnen. Jag kan undra, var det egentligen skulle sluta och vart det skulle ta vägen, om man skulle tillämpa en sådan princip.</w:t>
        <w:br/>
        <w:br/>
        <w:t>Det synes sålunda, som om alla skäl talade för, att man här följde utskottet. Utskottet har icke velat ställa sig avvisande, utan har ställt sig fullt förståeligt till det behov, som gör sig gällande, men detta behov har man ansett vara lämpligare att söka avhjälpa genom att barnen få något understöd, tills de komma till sådan ålder, att de själva kunna försörja sig och kanske också bidraga till sin mors underhåll. Under sådana förhållanden, herr talman, ber Jag att få yrka bifall till utskottets hemställan under mom. a i den föreliggande punkten.</w:t>
      </w:r>
    </w:p>
    <w:p>
      <w:pPr>
        <w:pStyle w:val="Heading2"/>
      </w:pPr>
      <w:r>
        <w:t>3. Theodor Östergren (Socialdemokraterna, man)</w:t>
      </w:r>
    </w:p>
    <w:p>
      <w:r>
        <w:rPr>
          <w:b w:val="0"/>
        </w:rPr>
        <w:t xml:space="preserve">Den föregående ärade talaren säger, att detta skulle vara en ny princip, och detta kan ju vara i så måtto, att då personen i fråga icke dött genom sjukdom, ådragen under arbetet, har icke såväl </w:t>
      </w:r>
      <w:r>
        <w:rPr>
          <w:b/>
        </w:rPr>
        <w:t>änkesom²</w:t>
      </w:r>
      <w:r>
        <w:rPr>
          <w:b w:val="0"/>
        </w:rPr>
        <w:t xml:space="preserve"> barnpension beviljats, men i sådana fall, där någon olyckshändelse kunnat påvisas eller sjukdomen ådragits i tjänsten finnas exempel på att såväl änkor som barn ha beviljats understöd. Nu kan det ju icke sägas, att denne man ådragit sig sin sjukdom i tjänsten; han dog av kräftsjukdom och det är ju en sjukdom, som icke gärna kan påvisas vara av denna natur.</w:t>
        <w:br/>
        <w:br/>
        <w:t>Den föregående talaren nämnde, om jag inte fattade honom fel, att det icke kunde påvisas av handlingarna, att han varit förman. Jo, det framgår mycket väl av handlingarna; han har varit förman i sju år, men han var icke mästare, så han hade icke tillträde till flottans pensionskassa. Vidare säger den föregående talaren, att han icke själv var berättigad till pension. Jo, han var själv berättigad till pension, han var berättigad till förmanspension men icke till mästarepension. Han stod sålunda i en kategori, som var berättigad till penfon, därför kan det i någon mån sägas, att familjen bör ses tillgodo efter nans död.</w:t>
      </w:r>
    </w:p>
    <w:p>
      <w:pPr>
        <w:pStyle w:val="Heading2"/>
      </w:pPr>
      <w:r>
        <w:t>4. Theodor Östergren (Socialdemokraterna, man)</w:t>
      </w:r>
    </w:p>
    <w:p>
      <w:r>
        <w:rPr>
          <w:b w:val="0"/>
        </w:rPr>
        <w:t xml:space="preserve">Herr talman! I denna fråga har också inom utskottet rått mycket skiljaktiga meningar. Statskontoret har här tillstyrkt det i motionen föreslagna beloppet åt nämnda </w:t>
      </w:r>
      <w:r>
        <w:rPr>
          <w:b/>
        </w:rPr>
        <w:t>änka²</w:t>
      </w:r>
      <w:r>
        <w:rPr>
          <w:b w:val="0"/>
        </w:rPr>
        <w:t xml:space="preserve"> Jonasson, 300 kronor. Statskontoret har icke haft något att erinra mot detta belopp, som ju sedan många år tillbaka varit gängse såsom understöd åt änkor efter gamla arbetare på olika platser, däribland särskilt vid Karl Gustavs stads gevärsfaktori i Eskilstuna, som vi flera gånger haft att behandla. Det är sålunda ingenting nytt, om vi bevilja en sådan pension åt denna </w:t>
      </w:r>
      <w:r>
        <w:rPr>
          <w:b/>
        </w:rPr>
        <w:t>änka²</w:t>
      </w:r>
      <w:r>
        <w:rPr>
          <w:b w:val="0"/>
        </w:rPr>
        <w:t xml:space="preserve">, och icke kan det väl heller anses vara ett alltför högt belopp att existera på. En jämförelse mellan de olika platserna visar, att levnadsförhållandena i Eskilstuna och Karlskrona äro likartade, varför det icke kan sägas föreligga något motiv för att en </w:t>
      </w:r>
      <w:r>
        <w:rPr>
          <w:b/>
        </w:rPr>
        <w:t>änka²</w:t>
      </w:r>
      <w:r>
        <w:rPr>
          <w:b w:val="0"/>
        </w:rPr>
        <w:t xml:space="preserve"> där nere skalt beviljas 100 kronor mindre än änkorna i Eskilstuna.</w:t>
        <w:br/>
        <w:br/>
        <w:t>Jag ber att få understödja det i motionen framförda önskemålet om ett understöd i detta fall av 300 kronor, vilket är detsamma som statskontoret tillstyrkt. Yrkar bifall till reservationen.</w:t>
      </w:r>
    </w:p>
    <w:p>
      <w:pPr>
        <w:pStyle w:val="Heading2"/>
      </w:pPr>
      <w:r>
        <w:t>5. Axel Vindahl (–, man)</w:t>
      </w:r>
    </w:p>
    <w:p>
      <w:r>
        <w:rPr>
          <w:b w:val="0"/>
        </w:rPr>
        <w:t xml:space="preserve">Det har anmärkts mot bankoutskottet, att det här visat alltför stor återhållsamhet, men jag tillåter mig erinra därom att under flera liknande tillfällen, då det begärts och beviljats pensioner eller understöd åt änkor efter daglönare, ha dessa understöd i regel satts till 200 kronor. Det har utskottet också nu föreslagit. I fjol förekom till exempel en framställning om understöd åt en </w:t>
      </w:r>
      <w:r>
        <w:rPr>
          <w:b/>
        </w:rPr>
        <w:t>änka²</w:t>
      </w:r>
      <w:r>
        <w:rPr>
          <w:b w:val="0"/>
        </w:rPr>
        <w:t xml:space="preserve"> efter daglönaren Abraham Olsson, som också bestämdes till 200 kronor, och det har icke framförts något annat skäl att i detta fall höja pensionsbeloppet, än att det begärts 300 kronor och att statskontoret icke sett upp på denna punkt, utan tillstyrkt bifall till ett belopp av 300 kronor. Det skulle givetvis verka obegripligt, om under i övrigt liknande omständigheter den ena </w:t>
      </w:r>
      <w:r>
        <w:rPr>
          <w:b/>
        </w:rPr>
        <w:t>änkan²</w:t>
      </w:r>
      <w:r>
        <w:rPr>
          <w:b w:val="0"/>
        </w:rPr>
        <w:t xml:space="preserve"> skulle få 200 kronor och den andra 300. Nästa gång kommer man kanske med begäran om 400 kronor, och man vet då icke var det slutar. Detta är icke riktigt, utan man får på något sätt söka skipa rätt och skapa rättvisa. Jag vill fästa uppmärksamheten på en sak. Man säger nu, att 300 kronor är icke för mycket. Nej för all del! Vem säger att det är för mycket? Men jag fäster uppmärksamheten på, att det här icke är 200 eller 300 kronor det gäller. utan till detta kommer först ett pensionstillägg på 90 kronor; således, med det</w:t>
        <w:br/>
        <w:br/>
        <w:t>föreslagna beloppet 200 kronor skulle det bli 290 kronor, och det är bra nära. det belopp, som föreslås av motionären. Därtill kommer, att på de lägre pensionerna har man dyrtidstillägg efter förmånligaste grunder. Således en pension på 200 kronor utgör i verkligheten 520 kronor med den levnadskostnadsindex, som för närvarande gäller. Det rör sig således icke om 200 kronor utan om 520 kronor, och skulle pensionen bestämmas till 300 kronor skulle den utgå. med ett belopp av omkring 700 kronor. Det är de belopp, som det realiter rör sig om.</w:t>
        <w:br/>
        <w:br/>
        <w:t>Alla skäl synas mig då tala för, att man bör följa utskottet, och särskilt på den grund att liknande understöd i allmänhet bruka lämnas till änkor efter män i jämförliga ställningar. Undantag har visserligen gjorts i fråga om änkor efter personer, anställda vid gevärsfaktoriet i Eskilstuna, men detta är en sak som kanske kommit till litet hastigt; man tänkte icke på att dyrtidstillägget skulle bli så stort som det sedermera blivit. Sålunda har det kommit in en ojämnhet som gör, att det icke är bra såsom det nu är. Det kan å andra sidan icke vara anledning för riksdagen, därför att man kan åberopa ojämnheter 1 vissa fall, att gå in för att höja alla dylika pensioner. Det synes sålunda vara på fullgoda skäl och goda grunder, som utskottet kommit till sitt resultat, vartill jag följaktligen ber att få yrka bifall.</w:t>
      </w:r>
    </w:p>
    <w:p>
      <w:pPr>
        <w:pStyle w:val="Heading2"/>
      </w:pPr>
      <w:r>
        <w:t>6. Karl Johan Alfred Gustafsson (–, man)</w:t>
      </w:r>
    </w:p>
    <w:p>
      <w:r>
        <w:rPr>
          <w:b w:val="0"/>
        </w:rPr>
        <w:t xml:space="preserve">Herr greve och talman! Då den siste ärade talaren gjorde en jämförelse mellan en </w:t>
      </w:r>
      <w:r>
        <w:rPr>
          <w:b/>
        </w:rPr>
        <w:t>änka²</w:t>
      </w:r>
      <w:r>
        <w:rPr>
          <w:b w:val="0"/>
        </w:rPr>
        <w:t xml:space="preserve">, som förut fått pension av 200 kronor, och denna, som nu föreslås, så är det visserligen överensstämmande med verkliga förhållandet vad han nämnde, men den ekonomiska ställningen för den, som fick pension förlidet år, var betydligt bättre: där fanns en förmögenhet av 6,000 kronor i det boet. Det torde vara en liten skillnad, då här icke finnes någon förmögenhet. I övrigt får jag säga, att det är svårt för oss i bankoutskottet i många fall att skipa rättvisa med alla dessa små pensioner, som vi ha att behandla. I ena fallet har kanske statskontoret tillstyrkt pension till ett belopp av 200 kronor, men i detta fall har det tillstyrkt 300 kronor. I andra fall är det kanske icke så lätt att komma fram till en fix summa, men då vi första gången preliminärt behandlade denna fråga, kommo vi överens om den summa herr Vindahl talade för, nämligen 200 kronor. Men vid justeringen kommo vi underfund med att de flesta övriga änkor, som i år fått pension och befunno sig i liknande omständigheter som den nu föreslagna, få 300 kronor, vilket innebär en skillnad, som icke är så trevlig vare sig för utskottet eller möjligtvis för en del övriga ledamöter inom riksdagen. På grund av dessa skäl har jag, herr talman, anslutit mig till reservationen, ty jag anser det ej vara rätt att under samma år en </w:t>
      </w:r>
      <w:r>
        <w:rPr>
          <w:b/>
        </w:rPr>
        <w:t>änka²</w:t>
      </w:r>
      <w:r>
        <w:rPr>
          <w:b w:val="0"/>
        </w:rPr>
        <w:t xml:space="preserve"> får stanna vid en pension på 200 kronor, under det en annan får 300 kronor, då de äro i liknande omständigheter.</w:t>
        <w:br/>
        <w:br/>
        <w:t>Med dessa få ord får jag, herr talman, yrka bifall till reservationen.</w:t>
      </w:r>
    </w:p>
    <w:p>
      <w:pPr>
        <w:pStyle w:val="Heading2"/>
      </w:pPr>
      <w:r>
        <w:t>7. Axel Vindahl (–, man)</w:t>
      </w:r>
    </w:p>
    <w:p>
      <w:r>
        <w:rPr>
          <w:b w:val="0"/>
        </w:rPr>
        <w:t>Jag vet icke om det riktigt håller streck, vad den föregående talaren sade att man under samma år bör bevilja liknande pensioner för alla änkor; det har förut icke ansetts riktigt. Under samma år ha beviljats pension åt änkor efter personer anställda vid Karl Gustavs stads gevärsfaktori i Eskilstuna och åt andra änkor efter daglönare på andra håll, men det bar alltid gjorts skillnad på dessa fall. Det har varit 200 kronors pension till daglönaränkor, men däremot ha änkorna efter personer vid gevärsfaktoriet fått pensioner till belopp av 300 kronor, och detta är ingen ojämnhet som uppkommit i år, utan den har även funnits tidigare. Det synes mig vara riktigast att man håller sig något så när vid liknande linjer även framdeles, så att vi icke komma ut på något fullständigt oberäkneligt, och så att det icke går runt som en karusell med alltsammans genom att ena gången besluta si och andra gången</w:t>
        <w:br/>
        <w:br/>
        <w:t>så. Därför ber jag, herr talman, att fortfarande få yrka bifall till utskottets hemställan.</w:t>
        <w:br/>
        <w:br/>
        <w:t xml:space="preserve">»På grund av vad i propositionen anförts har utskottet funnit sig böra tillstyrka, att pension av statsmedel beviljas </w:t>
      </w:r>
      <w:r>
        <w:rPr>
          <w:b/>
        </w:rPr>
        <w:t>änkan²</w:t>
      </w:r>
      <w:r>
        <w:rPr>
          <w:b w:val="0"/>
        </w:rPr>
        <w:t xml:space="preserve"> Hammar. Beloppet av denna pension har utskottet emellertid, med hänsyn till vad i allmänhet i liknande fall plägat beviljas, ansett böra begränsas till 300 kronor årligen.</w:t>
        <w:br/>
        <w:br/>
        <w:t xml:space="preserve">Under åberopande av det anförda får utskottet hemställa, att riksdagen, i anledning av Kungl. Maj:ts förevarande framställning, må medgiva, att månadslönaren vid flottans varv i Karlskrona Axel Irenaius Persson Hammars </w:t>
      </w:r>
      <w:r>
        <w:rPr>
          <w:b/>
        </w:rPr>
        <w:t>änka²</w:t>
      </w:r>
      <w:r>
        <w:rPr>
          <w:b w:val="0"/>
        </w:rPr>
        <w:t xml:space="preserve"> Anna Clara Hammar, född Danielsson, må från och med den 1 januari 1925, så länge </w:t>
      </w:r>
      <w:r>
        <w:rPr>
          <w:b/>
        </w:rPr>
        <w:t>hon²</w:t>
      </w:r>
      <w:r>
        <w:rPr>
          <w:b w:val="0"/>
        </w:rPr>
        <w:t xml:space="preserve"> förbliver i sitt nuvarande </w:t>
      </w:r>
      <w:r>
        <w:rPr>
          <w:b/>
        </w:rPr>
        <w:t>änkestånd²</w:t>
      </w:r>
      <w:r>
        <w:rPr>
          <w:b w:val="0"/>
        </w:rPr>
        <w:t>, å allmänna indragningsstaten uppbära en årlig pension av trehundra kronor.»</w:t>
      </w:r>
    </w:p>
    <w:p>
      <w:pPr>
        <w:pStyle w:val="Heading2"/>
      </w:pPr>
      <w:r>
        <w:t>8. Karl Johan Alfred Gustafsson (–, man)</w:t>
      </w:r>
    </w:p>
    <w:p>
      <w:r>
        <w:rPr>
          <w:b w:val="0"/>
        </w:rPr>
        <w:t xml:space="preserve">Vid denna punkt har Kvngl. Mai:t gått fram med en proposition om pension åt en </w:t>
      </w:r>
      <w:r>
        <w:rPr>
          <w:b/>
        </w:rPr>
        <w:t>änka²</w:t>
      </w:r>
      <w:r>
        <w:rPr>
          <w:b w:val="0"/>
        </w:rPr>
        <w:t xml:space="preserve"> å 300 kronor, men utskottsmajoritelen har på vissa skäl stannat vid att endast bevilja understöd till barnen. Man har varit tveksam i vissa fall: om </w:t>
      </w:r>
      <w:r>
        <w:rPr>
          <w:b/>
        </w:rPr>
        <w:t>änkan²</w:t>
      </w:r>
      <w:r>
        <w:rPr>
          <w:b w:val="0"/>
        </w:rPr>
        <w:t xml:space="preserve"> kan vara så i behov, eller om mannen haft sådan tjänsteställning, att det kan göras anspråk på pension åt hans efterlämnade </w:t>
      </w:r>
      <w:r>
        <w:rPr>
          <w:b/>
        </w:rPr>
        <w:t>änka²</w:t>
      </w:r>
      <w:r>
        <w:rPr>
          <w:b w:val="0"/>
        </w:rPr>
        <w:t xml:space="preserve">. Dock har jag 1 detta fall icke kunna gå med på utskottets hemställan. Då denne man under många år tjänat vid detta verk, vid flottans station i Karlskrona, såsom ritare och konstruktör samt där uppburit en avlöning till ett belopp av 4,700 kronor, anser jag för min del att mannen varit till verklig hjälp samt en god medborgare och således uppfyllt de fordringar som vanligen uppställas, för att en i små omständigheter efterlämnad </w:t>
      </w:r>
      <w:r>
        <w:rPr>
          <w:b/>
        </w:rPr>
        <w:t>änka²</w:t>
      </w:r>
      <w:r>
        <w:rPr>
          <w:b w:val="0"/>
        </w:rPr>
        <w:t xml:space="preserve"> skall erhålla pension från stat vid mannens frånfälle. I detta fall har Kungl. Maj:t liksom i flera liknande fall gjort framställning om pensions beviljande, och jag får därför, herr talman, yrka bifall till reservationen, således att ifrågavarande </w:t>
      </w:r>
      <w:r>
        <w:rPr>
          <w:b/>
        </w:rPr>
        <w:t>änka²</w:t>
      </w:r>
      <w:r>
        <w:rPr>
          <w:b w:val="0"/>
        </w:rPr>
        <w:t xml:space="preserve"> må uppbära en årlig pension av 300 kronor.</w:t>
        <w:br/>
        <w:br/>
        <w:t xml:space="preserve">Om denna hemställan bifalles, bortfaller naturligtvis förslaget om understöd till barnen; det står icke något därom i motiveringen, men det var ju endast föreslaget om pension till </w:t>
      </w:r>
      <w:r>
        <w:rPr>
          <w:b/>
        </w:rPr>
        <w:t>änkan²</w:t>
      </w:r>
      <w:r>
        <w:rPr>
          <w:b w:val="0"/>
        </w:rPr>
        <w:t>.</w:t>
      </w:r>
    </w:p>
    <w:p>
      <w:pPr>
        <w:pStyle w:val="Heading2"/>
      </w:pPr>
      <w:r>
        <w:t>9. Axel Vindahl (–, man)</w:t>
      </w:r>
    </w:p>
    <w:p>
      <w:r>
        <w:rPr>
          <w:b w:val="0"/>
        </w:rPr>
        <w:t>Ja, det skulle vara ett nytt skäl som den föregående ärade talaren anförde, varför man skulle gå med på reservationen, och det var att mannen varit en duktig karl och en god medborgare. Ett sådant skäl är väl icke något nytt, utan man bör väl räkna med att varje medborgare skall vara sådan, allra helst om man skall komma fram med begäran om pension, såsom</w:t>
        <w:br/>
        <w:br/>
        <w:t xml:space="preserve">man här gjort. I detta fall ligger saken lika såsom i det första fallet, som nyss behandlades. Det är bara den skillnaden, att framställning här kommit från Kungl. Maj:t, under det förra gången förslag väcktes på motionsvägen. båda fallen har statskontoret yttrat sig, och vad svarade statskontoret, då det gällde den person, varom förslag framställts på motionsvägen? Då säger det, att för beviljande av understöd det alltid utgjort en förutsättning, att särskilt ömmande omständigheter skulle föreligga och så ansåg man förhållandet varit, då </w:t>
      </w:r>
      <w:r>
        <w:rPr>
          <w:b/>
        </w:rPr>
        <w:t>änkan²</w:t>
      </w:r>
      <w:r>
        <w:rPr>
          <w:b w:val="0"/>
        </w:rPr>
        <w:t xml:space="preserve"> antingen till följd av hög ålder eller på grund av sjukdom varit oförmögen till arbete. Detta var också skälet varför man lämnade pension till den förstnämnda </w:t>
      </w:r>
      <w:r>
        <w:rPr>
          <w:b/>
        </w:rPr>
        <w:t>änkan²</w:t>
      </w:r>
      <w:r>
        <w:rPr>
          <w:b w:val="0"/>
        </w:rPr>
        <w:t>. I andra fall har man gått på den linjen att man lämnat barnen understöd.</w:t>
        <w:br/>
        <w:br/>
        <w:t xml:space="preserve">I nu föreliggande fall har saken inkommit genom Kungl. Maj:t till statskontoret, och då säger statskontoret helt enkelt, att statskontoret tillstyrker bifall till den av marinförvaltningen gjorda hemställan. Här går således statskontoret alldeles runt i stället för att såsom i det tidigare fallet påpeka, att när icke särskilt ömmande omständigheter förelåge, har man icke lämnat </w:t>
      </w:r>
      <w:r>
        <w:rPr>
          <w:b/>
        </w:rPr>
        <w:t>änkan²</w:t>
      </w:r>
      <w:r>
        <w:rPr>
          <w:b w:val="0"/>
        </w:rPr>
        <w:t xml:space="preserve"> pension, utan det har varit barnen som fått understöd. I detta fall däremot, när saken kommit från Kungl. Maj:t, har man utan vidare tillstyrkt bifall. Men när utskottet granskat och gjort jämförelse mellan de olika fallen, har det uppenbarligen varit nödvändigt att göra rättelse, och därvid har man kommit till samma ståndpunkt, som förut varit gällande. Utskottet ömmar för de föreliggande förhållandena, säger att här finnes behov och anser därför lämpligt. att man bör giva barnen understöd. -</w:t>
        <w:br/>
        <w:br/>
        <w:t xml:space="preserve">Vidare får jag påpeka, att </w:t>
      </w:r>
      <w:r>
        <w:rPr>
          <w:b/>
        </w:rPr>
        <w:t>änkan²</w:t>
      </w:r>
      <w:r>
        <w:rPr>
          <w:b w:val="0"/>
        </w:rPr>
        <w:t xml:space="preserve"> i detta fall är endast 43 år gammal. Är det då lämpligt att i ena fallet avslå och i det andra bifalla? I förra fallet sade man, att </w:t>
      </w:r>
      <w:r>
        <w:rPr>
          <w:b/>
        </w:rPr>
        <w:t>änkan²</w:t>
      </w:r>
      <w:r>
        <w:rPr>
          <w:b w:val="0"/>
        </w:rPr>
        <w:t xml:space="preserve"> var för ung, men i detta fallet är </w:t>
      </w:r>
      <w:r>
        <w:rPr>
          <w:b/>
        </w:rPr>
        <w:t>hon²</w:t>
      </w:r>
      <w:r>
        <w:rPr>
          <w:b w:val="0"/>
        </w:rPr>
        <w:t xml:space="preserve"> yngre än i det föregående. Allt synes sålunda tala för att man i någon mån söker bringa reda och ordning och detta gör man, om man går med på utskottets förslag, vartill jag ber att få yrka bifall.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490</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