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500</w:t>
      </w:r>
    </w:p>
    <w:p>
      <w:r>
        <w:rPr>
          <w:b/>
        </w:rPr>
        <w:t xml:space="preserve">Datum: </w:t>
      </w:r>
      <w:r>
        <w:t>1926-02-20</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Herr talman! Då jag är motionär i denna fråga och dessutom har antecknat en reservation, skall jag be att få säga några ord.</w:t>
        <w:br/>
        <w:br/>
        <w:t xml:space="preserve">Av det utskottsutlåtande, som här föreligger, framgår, att frågan om de gifta </w:t>
      </w:r>
      <w:r>
        <w:rPr>
          <w:b/>
        </w:rPr>
        <w:t>kvinnornas¹</w:t>
      </w:r>
      <w:r>
        <w:rPr>
          <w:b w:val="0"/>
        </w:rPr>
        <w:t xml:space="preserve"> pension flera gånger har behandlats i riksdagen och förekommit i en hel del uttalanden från myndigheter. Att vi från </w:t>
      </w:r>
      <w:r>
        <w:rPr>
          <w:b/>
        </w:rPr>
        <w:t>kvinnohåll¹</w:t>
      </w:r>
      <w:r>
        <w:rPr>
          <w:b w:val="0"/>
        </w:rPr>
        <w:t xml:space="preserve"> det oaktat ha ansett oss böra ännu en gång framföra denna fråga, beror på att vi ansett, att krav på en revision av pensionsförsäkringslagen på denna punkt borde frambäras direkt från </w:t>
      </w:r>
      <w:r>
        <w:rPr>
          <w:b/>
        </w:rPr>
        <w:t>kvinnorna¹</w:t>
      </w:r>
      <w:r>
        <w:rPr>
          <w:b w:val="0"/>
        </w:rPr>
        <w:t xml:space="preserve"> i riksdagen för att därmed understryka, att de protester, som redan vid lagens framträdande restes mot </w:t>
      </w:r>
      <w:r>
        <w:rPr>
          <w:b/>
        </w:rPr>
        <w:t>kvinnornas¹</w:t>
      </w:r>
      <w:r>
        <w:rPr>
          <w:b w:val="0"/>
        </w:rPr>
        <w:t xml:space="preserve"> särställning i pensionsfrågan alltjämt hålla streck och icke på något sätt ha förändrats genom de erfarenheter vi haft av lagen. Snarare kan jag säga, att våra farhågor i hög grad besannats. </w:t>
      </w:r>
      <w:r>
        <w:rPr>
          <w:b/>
        </w:rPr>
        <w:t>Kvinnornas¹</w:t>
      </w:r>
      <w:r>
        <w:rPr>
          <w:b w:val="0"/>
        </w:rPr>
        <w:t xml:space="preserve"> ställning i förhållande till pensionslagen är ganska dålig, vilket också under dessa år framhållits från många olika håll. Jag tror nog man kan säga, att man mer och mer kommit till insikt om det orim-</w:t>
        <w:br/>
        <w:br/>
        <w:t xml:space="preserve">liga i att t. ex. gifta </w:t>
      </w:r>
      <w:r>
        <w:rPr>
          <w:b/>
        </w:rPr>
        <w:t>kvinnors¹</w:t>
      </w:r>
      <w:r>
        <w:rPr>
          <w:b w:val="0"/>
        </w:rPr>
        <w:t xml:space="preserve"> pensionsavgifter beräknas alldeles lika för alla gifta </w:t>
      </w:r>
      <w:r>
        <w:rPr>
          <w:b/>
        </w:rPr>
        <w:t>kvinnor¹</w:t>
      </w:r>
      <w:r>
        <w:rPr>
          <w:b w:val="0"/>
        </w:rPr>
        <w:t xml:space="preserve">, alldeles oavsett mannens inkomster eller det större eller mindre arbete, som av </w:t>
      </w:r>
      <w:r>
        <w:rPr>
          <w:b/>
        </w:rPr>
        <w:t>henne²</w:t>
      </w:r>
      <w:r>
        <w:rPr>
          <w:b w:val="0"/>
        </w:rPr>
        <w:t xml:space="preserve"> utföres i hemmet.</w:t>
        <w:br/>
        <w:br/>
        <w:t xml:space="preserve">Det är ganska betecknande, att det samtidigt med våra motioner också kommit motioner från bondehåll med begäran om en ändring på denna punkt. I bondehemmen ligger det åtminstone i öppen dag, att den inkomst, som familjen har, grundar sig på båda makarnas gemensamma arbete, alldeles oavsett om detta arbete är lagt på olika områden, utanför och innanför hemmet, och det måste då synas som en orimlighet, att av de pensionsavgifter, som betalas av familjens gemensamma inkomst, endast en obetydlig del tillfaller </w:t>
      </w:r>
      <w:r>
        <w:rPr>
          <w:b/>
        </w:rPr>
        <w:t>hustrun²</w:t>
      </w:r>
      <w:r>
        <w:rPr>
          <w:b w:val="0"/>
        </w:rPr>
        <w:t>.</w:t>
        <w:br/>
        <w:br/>
        <w:t xml:space="preserve">Det orimliga i detta förhållande kommer ytterligare att framträda i den mån som avgiftspensionerna verkligen stiga till någon summa. Under den gångna tiden har man i stort sett endast haft att räkna med tilläggspensioner, men den dag kommer och närmar sig med varje år som går, då avgiftspensionerna komma att få betydelse och då blir detta än mer påtagligt. Det blir en orättvisa icke bara mot </w:t>
      </w:r>
      <w:r>
        <w:rPr>
          <w:b/>
        </w:rPr>
        <w:t>kvinnorna¹</w:t>
      </w:r>
      <w:r>
        <w:rPr>
          <w:b w:val="0"/>
        </w:rPr>
        <w:t xml:space="preserve"> utan mot familjerna. Om </w:t>
      </w:r>
      <w:r>
        <w:rPr>
          <w:b/>
        </w:rPr>
        <w:t>hustrun²</w:t>
      </w:r>
      <w:r>
        <w:rPr>
          <w:b w:val="0"/>
        </w:rPr>
        <w:t xml:space="preserve"> t. ex. blir invalid, medan mannen lever, får familjen mycket litet nytta av de kanske rätt så stora inbetalningar av pensionsavgifter, som gjorts på grund av familjens ekonomiska ställning. Detta framträder ännu mera på grund av att procentberäkningen på den summa, som ansetts vara inbetalning för </w:t>
      </w:r>
      <w:r>
        <w:rPr>
          <w:b/>
        </w:rPr>
        <w:t>hustruns²</w:t>
      </w:r>
      <w:r>
        <w:rPr>
          <w:b w:val="0"/>
        </w:rPr>
        <w:t xml:space="preserve"> pensionsavgifter, ställes så ofantligt mycket lägre än procentberäkningen för inbetalningarna för mannen.</w:t>
        <w:br/>
        <w:br/>
        <w:t>Det är just denna fråga om procentberäkningen vi ytterligare i vår motion velat understryka. När frågan om fördelning av avgiftspensionerna mellan äkta makar förut varit uppe, har man endast med mycket lätt hand vidrört frågan om procentberäkningen. Vi ha därför tyckt, att man borde begära, att frågan om procentberäkningen också skall tagas upp till förnyad omprövning i samband med en revision av pensionsförsäkringslagen.</w:t>
        <w:br/>
        <w:br/>
        <w:t>Det torde vara på tiden, att denna sak tages upp till förnyad omprövning. Man får en ganska stark känsla därav, när man läser den i utskottets förslag citerade motiveringen till lagen. Hela mentaliteten i dessa yttranden är en annan än vår tids, och det är inte uteslutet, att den grund de bygga på också kan behöva synas i sömmarna.</w:t>
        <w:br/>
        <w:br/>
        <w:t xml:space="preserve">Det har alltid sagts oss, att detta är försäkringstekniska saker, som vi icke skola röra vid. Det är möjligt. Men det skulle kunna hända, att den grund dessa försäkringstekniska saker vilar på icke håller streck. Jag vill bara peka på, att den stora skillnaden mellan männens och </w:t>
      </w:r>
      <w:r>
        <w:rPr>
          <w:b/>
        </w:rPr>
        <w:t>kvinnornas¹</w:t>
      </w:r>
      <w:r>
        <w:rPr>
          <w:b w:val="0"/>
        </w:rPr>
        <w:t xml:space="preserve"> dödsprocent är i sjunkande. Den var år 1899 0.93 och år 1920 0.25. Detta kan bero på en hel del olika saker, men det visar hän på, att man kanske kunde behöva revidera denna grund. Ändringen torde dels bero på förbättrade förhållanden i yrkestekniskt hänseende, dels kanske på förbättrade nykterhetsförhållanden och på att </w:t>
      </w:r>
      <w:r>
        <w:rPr>
          <w:b/>
        </w:rPr>
        <w:t>kvinnorna¹</w:t>
      </w:r>
      <w:r>
        <w:rPr>
          <w:b w:val="0"/>
        </w:rPr>
        <w:t xml:space="preserve"> kommit in på farligare arbetsområden, där förut endast män arbetade.</w:t>
        <w:br/>
        <w:br/>
        <w:t xml:space="preserve">Jag tror också, att man kan ha skäl att en liten smula granska invaliditetsfrågan. Jag vill då peka på det förhållandet, att den gamla fattigvårdslagen gjorde det nödvändigt för en </w:t>
      </w:r>
      <w:r>
        <w:rPr>
          <w:b/>
        </w:rPr>
        <w:t>kvinna¹</w:t>
      </w:r>
      <w:r>
        <w:rPr>
          <w:b w:val="0"/>
        </w:rPr>
        <w:t xml:space="preserve">, som skulle söka understöd för sina barn, vare sig </w:t>
      </w:r>
      <w:r>
        <w:rPr>
          <w:b/>
        </w:rPr>
        <w:t>hon²</w:t>
      </w:r>
      <w:r>
        <w:rPr>
          <w:b w:val="0"/>
        </w:rPr>
        <w:t xml:space="preserve"> var </w:t>
      </w:r>
      <w:r>
        <w:rPr>
          <w:b/>
        </w:rPr>
        <w:t>änka²</w:t>
      </w:r>
      <w:r>
        <w:rPr>
          <w:b w:val="0"/>
        </w:rPr>
        <w:t xml:space="preserve"> eller ensamstående att för att få sådant understöd uppvisa intyg om, att </w:t>
      </w:r>
      <w:r>
        <w:rPr>
          <w:b/>
        </w:rPr>
        <w:t>hon²</w:t>
      </w:r>
      <w:r>
        <w:rPr>
          <w:b w:val="0"/>
        </w:rPr>
        <w:t xml:space="preserve"> var invalid. Huru lätt är det då icke att blanda ihop den verkliga och den ekonomiska invaliditeten.</w:t>
        <w:br/>
        <w:br/>
        <w:t xml:space="preserve">Härmed menar jag icke, att man gendrivit det förhållandet, att kanhända </w:t>
      </w:r>
      <w:r>
        <w:rPr>
          <w:b/>
        </w:rPr>
        <w:t>kvinnorna¹</w:t>
      </w:r>
      <w:r>
        <w:rPr>
          <w:b w:val="0"/>
        </w:rPr>
        <w:t xml:space="preserve"> i större utsträckning än männen äro invalider. Men det pekar på, att man icke kan taga för givet, att det, som för 15 år sedan lades fram, nu håller streck. Det är möjligt, att de 21 miljoner, som enligt vad man sagt mig, blivit över på de beräknade utgifterna för folkpensioneringen till någon del</w:t>
        <w:br/>
        <w:br/>
        <w:t xml:space="preserve">beror på att man missräknat sig på utgifterna för </w:t>
      </w:r>
      <w:r>
        <w:rPr>
          <w:b/>
        </w:rPr>
        <w:t>kvinnorna¹</w:t>
      </w:r>
      <w:r>
        <w:rPr>
          <w:b w:val="0"/>
        </w:rPr>
        <w:t xml:space="preserve">. Men även om man icke gjort det, tror jag, att det är skäl att inför den förändrade tid vi leva uti taga upp till granskning, huruvida det verkligen är rätt att 1 en obligatorisk försäkring, som bygger på principen en för alla och alla för en, och som tages ut som andra skattemedel på våra debetsedlar, dela upp mänskligheten i olika riskklasser? Varför skola alla </w:t>
      </w:r>
      <w:r>
        <w:rPr>
          <w:b/>
        </w:rPr>
        <w:t>kvinnor¹</w:t>
      </w:r>
      <w:r>
        <w:rPr>
          <w:b w:val="0"/>
        </w:rPr>
        <w:t xml:space="preserve"> sättas i en enda riskklass? Varför då icke lika gärna gå in för olika riskklasser för t. ex. lantbor och stadsbor? Det har sagts, och jag tror att det är riktigt, att stadsborna i närvarande stund betala lantbornas pensioner, därför att lantborna leva så mycket längre. Om vi där ha två olika riskklasser med män och </w:t>
      </w:r>
      <w:r>
        <w:rPr>
          <w:b/>
        </w:rPr>
        <w:t>kvinnor¹</w:t>
      </w:r>
      <w:r>
        <w:rPr>
          <w:b w:val="0"/>
        </w:rPr>
        <w:t xml:space="preserve"> i båda, varför skola vi då föra alla </w:t>
      </w:r>
      <w:r>
        <w:rPr>
          <w:b/>
        </w:rPr>
        <w:t>kvinnorna¹</w:t>
      </w:r>
      <w:r>
        <w:rPr>
          <w:b w:val="0"/>
        </w:rPr>
        <w:t xml:space="preserve"> till en klass. Jag tror, att det skulle vara gott, om vi toge saken än en gång under övervägande och såge efter, om det icke kanhända skulle vara mera rättvist att gå in för en större solidaritet i denna försäkring.</w:t>
        <w:br/>
        <w:br/>
        <w:t>Vi ha nu 15 års erfarenhet på detta område, och under tiden ha förhållandena ganska mycket ändrats.</w:t>
        <w:br/>
        <w:br/>
        <w:t>Jag måste med tillfredsställelse stryka under, att utskottet också tager för givet, att frågan skall komma upp igen. Då vi lade fram vår motion, hade vi nog tänkt oss, att utskottet skulle vilja komma till något positivt uttalande i frågan. Men då utskottets ärade ordförande meddelade, att pensionsförsäkringsfrågan låge på Kungl. Maj:ts bord — jag har visserligen här i dag hört uttalas tvivelsmål från vissa håll, att så förhölle sig — måste även jag som motionär böja mig för, att utskottet nu icke kunde taga upp denna fråga till realbehandling. Den är så pass svår, att man icke utan att gå den mycket djupt inpå livet kan upptaga densamma till realbehandling, och därför böjde jag mig för utskottets yrkande om avslag å motionen. Att jag icke dess mindre reserverat mig, beror dels på, att jag velat stryka under de synpunkter, jag här framlagt. dels på att jag ansåg att utskottet skulle kunnat uttala sig litet mera sympatiskt mot principerna, även om det icke tagit upp frågan till detaljbehandling. Men då utskottet i alla fall bestämt förklarat, att det för sin del förväntar, att dessa frågor snart skola komma att tagas upp till omprövning inför Kungl. Maj:t får jag för denna gång låta mig nöja.</w:t>
        <w:br/>
        <w:br/>
        <w:t>Herr talman! Jag har intet yrkande.</w:t>
      </w:r>
    </w:p>
    <w:p>
      <w:pPr>
        <w:pStyle w:val="Heading2"/>
      </w:pPr>
      <w:r>
        <w:t>2. Karl Gustaf Westman (–, man)</w:t>
      </w:r>
    </w:p>
    <w:p>
      <w:r>
        <w:rPr>
          <w:b w:val="0"/>
        </w:rPr>
        <w:t>Herr talman! Med anledning av vad den ärade reservanten anfört skall jag be att få yttra några ord.</w:t>
        <w:br/>
        <w:br/>
        <w:t>De motioner, som föredragits inför utskottet och om vilka utskottet yttrat sig 1 föreliggande betänkande avse två frågor, som äro alldeles skilda med avseende å sin riksdagshistoria.</w:t>
        <w:br/>
        <w:br/>
        <w:t xml:space="preserve">Den första frågan berör fördelningen av pensionsavgifterna äkta makar emellan. Den frågan har behjärtats av riksdagen, som år 1921 skrev till Kungl. Maj:t och begärde utredning, huruvida icke förbättring skulle kunna åstadkommas 1 gifta och förut gifta </w:t>
      </w:r>
      <w:r>
        <w:rPr>
          <w:b/>
        </w:rPr>
        <w:t>kvinnors¹</w:t>
      </w:r>
      <w:r>
        <w:rPr>
          <w:b w:val="0"/>
        </w:rPr>
        <w:t xml:space="preserve"> pensioner. Med anledning av denna skrivelse har nu till Kungl. Maj:t från besparingskommittén inkommit ett utlåtande, som rör denna sak och åtskilliga andra frågor. Likaså ha från myndigheter och föreningar inkommit yttranden, som äro avgivna över den saken.</w:t>
        <w:br/>
        <w:br/>
        <w:t xml:space="preserve">I samband med denna fråga har också från </w:t>
      </w:r>
      <w:r>
        <w:rPr>
          <w:b/>
        </w:rPr>
        <w:t>kvinnohåll¹</w:t>
      </w:r>
      <w:r>
        <w:rPr>
          <w:b w:val="0"/>
        </w:rPr>
        <w:t xml:space="preserve"> tagits upp den andra frågan, som </w:t>
      </w:r>
      <w:r>
        <w:rPr>
          <w:b/>
        </w:rPr>
        <w:t>fröken²</w:t>
      </w:r>
      <w:r>
        <w:rPr>
          <w:b w:val="0"/>
        </w:rPr>
        <w:t xml:space="preserve"> Hesselgren berörde, nämligen frågan om den procent, som skall beräknas för den pension, som utgår på avgifterna. Det är ju så för</w:t>
        <w:br/>
        <w:br/>
        <w:t xml:space="preserve">närvarande, att man beräknar en procentsats för minnen och en annan lägre för </w:t>
      </w:r>
      <w:r>
        <w:rPr>
          <w:b/>
        </w:rPr>
        <w:t>kvinnorna¹</w:t>
      </w:r>
      <w:r>
        <w:rPr>
          <w:b w:val="0"/>
        </w:rPr>
        <w:t xml:space="preserve">. Hur den saken skulle ordnas är en gammal fråga och i den frågan har riksdagen 1913 ställt sig på den ståndpunkten, att man icke borde godkänna den princip, som </w:t>
      </w:r>
      <w:r>
        <w:rPr>
          <w:b/>
        </w:rPr>
        <w:t>fröken²</w:t>
      </w:r>
      <w:r>
        <w:rPr>
          <w:b w:val="0"/>
        </w:rPr>
        <w:t xml:space="preserve"> Hesselgren förordat. Riksdagen gjorde då den meningen gällande, att någon del av de bestämmelser om försäkringar, som meddelas i pensionsförsäkringslagen skulle vara byggda på vanliga försäkringstekniska grunder. Man ville då i fråga om procenten på pensionsavgilterna följa den princip, som tillämpas av enskilda försäkringsbolag. Det finnes icke ett försäkringsbolag, som tillämpar den grundsatsen, att det skall vara samma procentsatser å erlagda avgifter för </w:t>
      </w:r>
      <w:r>
        <w:rPr>
          <w:b/>
        </w:rPr>
        <w:t>kvinnor¹</w:t>
      </w:r>
      <w:r>
        <w:rPr>
          <w:b w:val="0"/>
        </w:rPr>
        <w:t xml:space="preserve"> som för män. Skulle riksdagen ordna denna sak försäkringstekniskt, måste man i det avseendet göra skiljaktigheter, så att procenten blev lägre för </w:t>
      </w:r>
      <w:r>
        <w:rPr>
          <w:b/>
        </w:rPr>
        <w:t>kvinnorna¹</w:t>
      </w:r>
      <w:r>
        <w:rPr>
          <w:b w:val="0"/>
        </w:rPr>
        <w:t xml:space="preserve">. Följden blev, att det blev synd om </w:t>
      </w:r>
      <w:r>
        <w:rPr>
          <w:b/>
        </w:rPr>
        <w:t>kvinnorna¹</w:t>
      </w:r>
      <w:r>
        <w:rPr>
          <w:b w:val="0"/>
        </w:rPr>
        <w:t xml:space="preserve"> därför, att de fingo lägre pension. Men då gick riksdagen 1913 på den linjen, att pensionstilläggen skulle ökas för </w:t>
      </w:r>
      <w:r>
        <w:rPr>
          <w:b/>
        </w:rPr>
        <w:t>kvinnorna¹</w:t>
      </w:r>
      <w:r>
        <w:rPr>
          <w:b w:val="0"/>
        </w:rPr>
        <w:t xml:space="preserve">. Staten fick något mera träda emellan till </w:t>
      </w:r>
      <w:r>
        <w:rPr>
          <w:b/>
        </w:rPr>
        <w:t>kvinnornas¹</w:t>
      </w:r>
      <w:r>
        <w:rPr>
          <w:b w:val="0"/>
        </w:rPr>
        <w:t xml:space="preserve"> bästa.</w:t>
        <w:br/>
        <w:br/>
        <w:t xml:space="preserve">Sedermera har riksdagen 1921 gått vidare på den vägen, att man skulle behandla frågan om procenten för avgifterna på ett försäkringstekniskt tillfredsställande sätt. Man gick då så långt, att man delade upp män och </w:t>
      </w:r>
      <w:r>
        <w:rPr>
          <w:b/>
        </w:rPr>
        <w:t>kvinnor¹</w:t>
      </w:r>
      <w:r>
        <w:rPr>
          <w:b w:val="0"/>
        </w:rPr>
        <w:t xml:space="preserve"> var för sig i 7 åldersgrupper, som vardera ha olika procent. Alltså har ett ytterligare steg tagits i en riktning motsatt </w:t>
      </w:r>
      <w:r>
        <w:rPr>
          <w:b/>
        </w:rPr>
        <w:t>fröken²</w:t>
      </w:r>
      <w:r>
        <w:rPr>
          <w:b w:val="0"/>
        </w:rPr>
        <w:t xml:space="preserve"> Hesselgrens ideal. Det är sålunda knappast anledning att, som den ärade reservanten gjorde, förmoda, att mentaliteten i riksdagen ändrats. Jag förstår för övrigt icke, om man vill tillgodose </w:t>
      </w:r>
      <w:r>
        <w:rPr>
          <w:b/>
        </w:rPr>
        <w:t>kvinnornas¹</w:t>
      </w:r>
      <w:r>
        <w:rPr>
          <w:b w:val="0"/>
        </w:rPr>
        <w:t xml:space="preserve"> intressen, varför man icke skulle kunna låta detta vara detta, låta försäkring vara försäkring och i stället gå på den linje att begära ökade pensionstillägg för </w:t>
      </w:r>
      <w:r>
        <w:rPr>
          <w:b/>
        </w:rPr>
        <w:t>kvinnorna¹</w:t>
      </w:r>
      <w:r>
        <w:rPr>
          <w:b w:val="0"/>
        </w:rPr>
        <w:t xml:space="preserve">, vilken riksdagen anvisade 1913. Men detta är en sak, som man icke behöver gå in på och diskutera här. Problemet, hur man skall ordna </w:t>
      </w:r>
      <w:r>
        <w:rPr>
          <w:b/>
        </w:rPr>
        <w:t>kvinnornas¹</w:t>
      </w:r>
      <w:r>
        <w:rPr>
          <w:b w:val="0"/>
        </w:rPr>
        <w:t xml:space="preserve"> ställning, är förfärligt invecklat. Den frågan måste emellertid komma in till beaktande vid behandlingen av den av mig förut angivna frågan.</w:t>
        <w:br/>
        <w:br/>
      </w:r>
      <w:r>
        <w:rPr>
          <w:b/>
        </w:rPr>
        <w:t>Fröken²</w:t>
      </w:r>
      <w:r>
        <w:rPr>
          <w:b w:val="0"/>
        </w:rPr>
        <w:t xml:space="preserve"> Hesselgren behöver för övrigt icke vara orolig för att de synpunkter, som </w:t>
      </w:r>
      <w:r>
        <w:rPr>
          <w:b/>
        </w:rPr>
        <w:t>hon²</w:t>
      </w:r>
      <w:r>
        <w:rPr>
          <w:b w:val="0"/>
        </w:rPr>
        <w:t xml:space="preserve"> framfört i sin motion, icke skola komma att vinna beaktande, ty dessa synpunkter återfinnas i det yttrande, som Fredrika Bremerförbundet avgivit till Kungl. Maj:t. Under sådana förhållanden är det icke nödvändigt, att riksdagen inför Kungl. Maj:t lägger fram dessa synpunkter nu igen, då de redan dragits inför Kungl, Maj:t.</w:t>
        <w:br/>
        <w:br/>
        <w:t>Detta sistnämnda skäl har varit anledningen till, att utskottet för närvarande ställt sig avvaktande.</w:t>
        <w:br/>
        <w:br/>
        <w:t xml:space="preserve">Jag vill till slut säga, att, när </w:t>
      </w:r>
      <w:r>
        <w:rPr>
          <w:b/>
        </w:rPr>
        <w:t>fröken²</w:t>
      </w:r>
      <w:r>
        <w:rPr>
          <w:b w:val="0"/>
        </w:rPr>
        <w:t xml:space="preserve"> Hesselgren yttrade, att det uttalats tvivelsmål därom, huruvida den uppgift jag lämnat, när jag sade, att denna fråga ligger på Kungl. Maj:ts bord, vore riktig, detta torde bero på någon missuppfattning från den ärade talarinnans sida. Att saken ligger på Kungl. Maj:ts bord, därom kan icke mer än en mening råda. Ärendet inkom 1925, och det återfinnes nu på Kungl. Maj:ts bord. Den ärade talarinnan uttalade även tvivel om, huruvida Kungl. Maj:t snart komme att framlägga förslag för riksdagen. Kungl. Maj:t kommer 1 varje fall, så mycket kan jag säga, fatta beslut om, vilka åtgärder Kungl. Maj:t skall vidtaga i frågan redan under den närmaste tiden. Om detta beslut blir, att frågan skall föreläggas riksdagen, eller om Kungl. Maj:t vidtager ytterligare utredning, innan Kungl. Maj:t slutgiltigt bestämmer sin ståndpunkt, vågar jag icke uttala mig om. Riksdagen kan 1 varje fall icke begära, att Kungl. Maj:t skall ha så svåra och viktiga saker som denna färdigberedda efter så kort tid som den, vilken i detta ärende stått till Kungl. Maj:ts förfogande.</w:t>
        <w:br/>
        <w:br/>
        <w:t>Herr talman! Jag ber att få yrka bifall till utskottets hemställan.</w:t>
      </w:r>
    </w:p>
    <w:p>
      <w:pPr>
        <w:pStyle w:val="Heading2"/>
      </w:pPr>
      <w:r>
        <w:t>3. Kerstin Hesselgren (Folkpartiet, woman)</w:t>
      </w:r>
    </w:p>
    <w:p>
      <w:r>
        <w:rPr>
          <w:b w:val="0"/>
        </w:rPr>
        <w:t>Vare det långt ifrån mig att på något sätt betvivla</w:t>
        <w:br/>
        <w:br/>
        <w:t>riktigheten av vad utskottets ärade ordförande sagt; det har aldrig fallit mig in. När jag sade, att jag i dag fått en känsla av att vi dock bort driva saken hårdare än vi gjort, var detta yttrande föranlett av att en föregående talare i en liknande fråga uttryckte sig ganska pessimistiskt om den oändligt långa tid det skulle dröja, innan pensionsförsäkringslagen skulle upptagas till revision. Jag trodde på grund av de meddelanden, som gjordes i utskottet, att man kunde förvänta, att frågan mycket snart, i år eller nästa år, skulle komma in för riksdagen.</w:t>
        <w:br/>
        <w:br/>
        <w:t>Att vad som säges 1 denna motion förekommer i ett av Fredrika Bremerförbundet ingivet yttrande är alideles riktigt. Men det hindrar ej, att det också kan behöva föras fram här och jag vill än en gång understryka, att vi för vår del äro lika angelägna nu som vi voro, när lagen kom fram, att den skall ändras på denna punkt.</w:t>
      </w:r>
    </w:p>
    <w:p>
      <w:pPr>
        <w:pStyle w:val="Heading2"/>
      </w:pPr>
      <w:r>
        <w:t>4. Halfred von Koch (–, man)</w:t>
      </w:r>
    </w:p>
    <w:p>
      <w:r>
        <w:rPr>
          <w:b w:val="0"/>
        </w:rPr>
        <w:t xml:space="preserve">Herr talman! Då det möjligtvis kan förefalla någon, som om </w:t>
      </w:r>
      <w:r>
        <w:rPr>
          <w:b/>
        </w:rPr>
        <w:t>fröken²</w:t>
      </w:r>
      <w:r>
        <w:rPr>
          <w:b w:val="0"/>
        </w:rPr>
        <w:t xml:space="preserve"> Hesselgren i denna fråga stode alldeles ensam om sin mening och som om alla övriga deltagare i utskottsbehandlingen skulle stå på samma ståndpunkt som den, utskottets ordförande här intagit, ber jag att få säga, att åtminstone jag hyst mycket starka sympatier för den uppfattning </w:t>
      </w:r>
      <w:r>
        <w:rPr>
          <w:b/>
        </w:rPr>
        <w:t>fröken²</w:t>
      </w:r>
      <w:r>
        <w:rPr>
          <w:b w:val="0"/>
        </w:rPr>
        <w:t xml:space="preserve"> Hesselgren givit uttryck åt. Jag har redan tidigare i mitt yttrande till Kungl. Maj:t över besparingskommitténs utlåtande haft anledning att uttala mig i denna fråga.</w:t>
        <w:br/>
        <w:br/>
        <w:t>Nu kunde jag visserligen icke fullständigt uppfatta utskottets ärade ordförande från denna plats, men, så vitt jag förstod, tog han nu principiell ställning till saken, och det är därför jag velat göra detta uttalande.</w:t>
        <w:br/>
        <w:br/>
        <w:t>Motionen avsåg införande av tullfrihet för de i den föreslagna nya rubriken upptagna artiklarna, vilka enligt gällande bestämmelser tullbehandlades enligt rubriken 1277 med en tull av 15 procent av värdet.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500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