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511</w:t>
      </w:r>
    </w:p>
    <w:p>
      <w:r>
        <w:rPr>
          <w:b/>
        </w:rPr>
        <w:t xml:space="preserve">Datum: </w:t>
      </w:r>
      <w:r>
        <w:t>1926-05-08</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Sigfrid Hansson (Socialdemokraterna, man)</w:t>
      </w:r>
    </w:p>
    <w:p>
      <w:r>
        <w:rPr>
          <w:b w:val="0"/>
        </w:rPr>
        <w:t>Herr talman! Den ärade talare, som nu senast hade ordet, gick för långt, när han skildrade verkningarna av den nu gällande arbetstidslagen. Han åberopade visserligen socialstyrelsen och kommerskollegium, men om man själv ser närmare efter vad dessa myndigheter anfört med stöd av verkställda utredningar, får man icke fram samma mörka bild, som herr von Sydow lyckades framtrolla. Socialstyrelsen har tvärtom, såvitt jag kan finna, starkt framhållit, att verkningarna av denna lagstiftning icke varit så ogynnsamma, som man i allmänhet befarat. Det framhålles sålunda beträffande produktionens volym i jämförelse med förhållandena före kriget, att densamma visserligen nedgått inom vissa industrigrenar, t. ex. järnindustrien, som herr von Sydow särskilt uppehållit sig vid, men näppeligen minskats såsom heihet betraktad. Verkställda specialundersökningar ha givit vid handen, att produktionsresultatet ökats per timme räknat. Det förefaller, heter det nämligen, »som om efter åttatimmarslagens genomförande produktionen per timme ökats i det övervägande antalet fall, och att denna ökning i genomsnitt varit tillräckligt stor för att, oaktat veckoarbetstidens minskning, hålla den industriella produktionen uppe på i stort sett nära nog samma medelnivå som tidigare».</w:t>
        <w:br/>
        <w:br/>
        <w:t>Här har alltså uttalats en uppfattning, som icke är precis densamma, som herr von Sydow gjorde sig till tolk för. Visserligen har, säges det, utvecklingen tagit sig mycket olika riktningar ej blott inom olika industrigrupper, utan även i olika företag tillhörande samma bransch. Härvid vill det emellertid synas »som om produktionens utveckling i mindre grad rönt inflytande av arbetstidsnedsättningens storlek i och för sig än av de konjunkturer, som varit rådande inom branschen, samt av företagsledningens större eller mindre förmåga av anpassning efter de nya förhållandena».</w:t>
        <w:br/>
        <w:br/>
        <w:t>Kommerskollegium, som naturligtvis icke är lika välvilligt stämt som socialstyrelsen mot denna lagstiftning, har nödgats intyga ungefär detsamma. Det framhåller, att resultatet av de av denna myndighet verkställda utredningarna visat »i det stora hela en energisk och målmedveten strävan från industriens sida till anpassning efter de ändrade produktionsförhållanden, som inträtt genom arbetstidens minskning till följd av arbetstidslagens tillämpning. Verkningarna härav i form av minskad produktion per år och arbetare hade så-</w:t>
        <w:br/>
        <w:br/>
        <w:t>utnyttjande av arbetstiden m. m., varigenom en produktionsökning per effektiv arbetstimme möjliggjorts av den betydenhet, att den helt eller delvis motvägt eller i vissa fall t. o. m. mer än uppvägt arbetstidens förkortning».</w:t>
        <w:br/>
        <w:br/>
        <w:t>Slutligen har arbetsrådet, som haft rikliga tillfällen att i detalj göra observationer rörande lagens verkningar, uttalat, »att industrien nästan genomgående förmått att väl inrätta sig efter de arbetstidsförhållanden, som år 1919 blevo lagbestämda, och att arbetarna och deras organisationer visat en alltmer ökad förståelse för de ekonomiska synpunkter, som inom ramen av gällande lag påkalla en rationell och snabb anpassning till växlande praktiska förhållanden».</w:t>
        <w:br/>
        <w:br/>
        <w:t>Det är ganska naturligt, att dessa myndigheter, efter att hava kommit till dessa resultat, baserade på ganska ingående utredningar, tillstyrkt ett bibehållande av lagstiftningen. Såväl socialstyrelsen som arbetsrådet ha ju för övrigt förordat en definitiv lagstiftning, medan kommerskollegium nöjt sig med att förorda prolongation på vissa år.</w:t>
        <w:br/>
        <w:br/>
        <w:t xml:space="preserve">Herr von Sydow uppehöll sig särskilt vid järnindustrien och gjorde därvid gällande, att denna industris nödläge skulle vara resultatet av åttatimmarslagen. Jag är alldeles övertygad, att detta uttalande är något förhastat och att en närmare utredning skulle giva vid handen, att även om åttatimmarslagen naturligtvis i någon mån inverkat, ha säkerligen många andra förhållanden spelat en mycket stor roll beträffande denna industris svårigheter. Det är icke alldeles uteslutet, att inom vissa företag åtminstone ha svårigheterna i mycket hög grad berott på en icke tillräckligt modern teknisk och organisatorisk utrustning. Nu säger herr von Sydow, att därest åttatimmarsdagen skulle kunna ersättas med en tiotimmarsdag inom järnindustrien, skulle nödläget upphävas. För min del är jag icke övertygad om, att så skulle bliva fallet. Om arbetstidslagen skulle upphävas med hänsyn till järnindustrien, tror då herr von Sydow verkligen, att man ändå skulle kunna genomföra tiotimmarsdagen? Jag tror det icke. Av det uttalande, som herr von Sydow gjorde i slutet av sitt anförande, framgick ganska tydligt, att han icke räknar med en sådan medverkan från järnbruksarbetarnas sida, ty även dessa arbetare hålla på åttatimmarsdagen och vilja icke gärna offra den. De ha icke blivit övertygade om, att ett offer härvidlag skulle komma att nämnvärt inverka till förmån för dem och deras arbetsvillkor. Ett bifall till herr von Sydows yrkande om lagens upphävande skulle därför, såvitt jag kan förstå, icke komma att medföra något gynnsamt resultat för järnindustrien, utan av allt att döma skulle arbetsförhållandena där förbliva vid vad de nu äro, och detsamma skulle nog bliva förhållandet inom hela det svenska näringslivet. Det finnes alltså icke någon anledning att med hänsyn speciellt till järnindustriens för- </w:t>
      </w:r>
      <w:r>
        <w:rPr>
          <w:b/>
        </w:rPr>
        <w:t>Moder²</w:t>
      </w:r>
      <w:r>
        <w:rPr>
          <w:b w:val="0"/>
        </w:rPr>
        <w:t xml:space="preserve"> biträda en sådan uppfattning, som herr von Sydow här gjort sig till tolk för.</w:t>
        <w:br/>
        <w:br/>
        <w:t>Efter det anförande, som nyss hållits från regeringsbänken till förmån för Kungl. Maj:ts förslag har jag ingen anledning att nu längre taga kammarens uppmärksamhet i anspråk. Herr socialministern har utförligt motiverat den ståndpunkt, som jag tillåtit mig företräda inom utskottet och som har kommit till uttryck i den reservation, som jag och mina partivänner fogat vid utskottets utlåtande. Jag ber därför att med dessa ord få yrka bifall till den formulering av 1 $, som återfinnes i den kungl. propositionen.</w:t>
      </w:r>
    </w:p>
    <w:p>
      <w:pPr>
        <w:pStyle w:val="Heading2"/>
      </w:pPr>
      <w:r>
        <w:t>2. Karl Gustaf Westman (–, man)</w:t>
      </w:r>
    </w:p>
    <w:p>
      <w:r>
        <w:rPr>
          <w:b w:val="0"/>
        </w:rPr>
        <w:t>Herr talman! Jag skall be att med några ord få angiva de synpunkter, som varit bestämmande för mig, när jag anslutit mig till den ståndpunkt, vartill utskottet kommit.</w:t>
        <w:br/>
        <w:br/>
        <w:t>Såsom synes av utskottsbetänkandet, är denna ståndpunkt icke den, som intogs av utskottets ärade vice ordförande. Han uttalade sig, som vi hörde, i den</w:t>
        <w:br/>
        <w:br/>
        <w:t>riktningen, att åttatimmarslagen borde avskaffas. När jag lyssnat till den argumentering, som den ärade talaren nyss från denna plats gav för sin ståndpunkt, kunde jag icke undgå att märka, att hans anförande sönderföll 1 tvenne från varandra väsentligt skilda delar. T första delen av sitt anförande gav han åttalimmarslagen väsentligen skulden till de svårigheter, vari järnindustrien hade råkat. I andra delen av sitt anförande åter såg han bakom åttatimmarslagen, och han fann då — han framhöll det särskilt att det finns krafter, som, oavsett om åttatimmarslagen finnes eller inte, verka för en kort arbetstid.</w:t>
        <w:br/>
        <w:br/>
        <w:t xml:space="preserve">T själva verket är det mycket svårt att bestämt urskilja, i vad mån den korta arbetstiden 1 vårt land beror på själva lagen. Ju mer man studerar denna fråga desto mer blir man emellertid böjd för att varna emot, att allt för mycket överskatta lagens inflytande. Det är väl tydligt, att om lagen avskaffades, skulle de mäktiga fackförbunden likväl för yrken kunna upprätthålla den korta arbetstiden. TI varje fall är det fullkomligt säkert, att de skulle komma att göra sitt allra yttersta i det syftet. Sålunda, om lagen upphäves, skulle den vinst, som industrien skulle kunna skörda i form av förlängd arbetstid, kunna uttagas endast inom de branscher, där arbetarna hava en svagare organisation. Så är naturligtvis förhållandet icke minst ifråga om de yrken, där företrädesvis </w:t>
      </w:r>
      <w:r>
        <w:rPr>
          <w:b/>
        </w:rPr>
        <w:t>kvinnor¹</w:t>
      </w:r>
      <w:r>
        <w:rPr>
          <w:b w:val="0"/>
        </w:rPr>
        <w:t xml:space="preserve"> användas. Men den vinst, som skulle kunna uttagas i denna begränsade omfattning, kan icke vara utav någon verkligt avgörande nationalekomisk betydelse. Den kan icke vara utav den vikt, att vår industris väl eller ve skulle hänga därpå. Utskottet har alltså på intet vis sett saken så, som dess ärade vice ordförande antog, när han antydde, att det resonemang, som ligger bakom utskottets ståndpunkt, är detta: »Låt industrien gå under, bara vi få behålla åttatimmarslagen!» Problemet ligger icke på det viset.</w:t>
        <w:br/>
        <w:br/>
        <w:t>Den ärade talaren fortsatte och sade, att valsverken ha stora svårigheter, men att om man kunde förlänga arbetstiden vid valsverken till tio timmar, skulle de kunna gå. För min del skulle jag vilja vända mig mot den tanke, som ligger bakom det yttrandet. Det förefaller nämligen som om den ärade talaren delar den böjelse, som finnes på åtskilliga håll och som går ut därpå, att man vill, när industrien råkar i ekonomiska svårigheter, i första hand söka sin räddning ur dessa svårigheter genom att förlänga arbetstiden. Det är enligt min mening icke den riktiga vägen. I första hand bör man givetvis försöka att genom förbättrad organisation, genom införande av sträng besparing och finansiell sanering av företagen skapa möjligheter för industriens lyckosamma utveckling. Vad järnbranschen beträffar, känna vi alla till följd av den fusionsplan, som varit uppe, huru läget där är. Det vore naturligtvis i högsta grad oriktigt, om man lade åt sidan alla planer i den riktningen, varom denna fusionsplan vittnar, för att i stället i första hand söka industriens räddning i en förlängning av arbetstiden.</w:t>
        <w:br/>
        <w:br/>
        <w:t>För övrigt vill jag framhålla, att den begränsade vinst, som industrien skulle vinna i form av förlängd arbetstid genom åttatimmarslagens avskaffande, icke skulle kunna vinnas utan strider. Låt vara att dessa strider kanske skulle kunna till en början uppstå och röra sig på mera begränsade områden, det finnes emellertid alltid en fara för, att dylika arbetstvister vinna en allt större spridning, att allt större skaror av arbetsgivare och arbetare indragas i den och att de till slut få en omfattning, som är skadlig för såväl industrien som för samhället i dess helhet.</w:t>
        <w:br/>
        <w:br/>
        <w:t>Det är naturligtvis sant, att det kan möta vissa betänkligheter att genom en lagstiftning, sådan som den här föreslagna, binda en faktor i lönebildningsprocessen. men en sådan åtgärd kan försvaras därmed, att denna lagstiftning till ett av sina syften är en arbetsfredslagstiftning. Det kan väl icke förnekas,</w:t>
        <w:br/>
        <w:br/>
        <w:t>tiden, undviker en del stridigheter, som eljest skulle uppkomma och att man förenklar det problem, som återstår att lösa vid de lönekonflikter, som uppstå mellan arbetsgivare och arbetare.</w:t>
        <w:br/>
        <w:br/>
        <w:t xml:space="preserve">Men härtill kommer, att denna lag också ur annan synpunkt är av betydelse, nämligen ur synpunkten av, att den är en arbetarskyddslagstiftning. Just därför att, som jag förut framhållit, lagen är av väsentligt värde för de svagast organiserade arbetarna ej minst för </w:t>
      </w:r>
      <w:r>
        <w:rPr>
          <w:b/>
        </w:rPr>
        <w:t>kvinnorna¹</w:t>
      </w:r>
      <w:r>
        <w:rPr>
          <w:b w:val="0"/>
        </w:rPr>
        <w:t>, föreligger det ett starkt skäl för staten att icke upphäva den skyddslagstiftning, som vi genom åttatimmarslagen äga uti vårt land.</w:t>
        <w:br/>
        <w:br/>
        <w:t>Jag har alltså för min del, på grund av de skäl jag här anfört, icke kunnat ansluta mig till deras krav, som yrkat att lagen skulle avskaffas.</w:t>
        <w:br/>
        <w:br/>
        <w:t>Å andra sidan har jag ej heller velat ställa mig på den ståndpunkten, att man nu borde göra lagen definitiv.</w:t>
        <w:br/>
        <w:br/>
        <w:t>Vill man göra lagen definitiv nu, måste man naturligtvis taga ställning till den frågan, om den svenska lagen bör bringas i överensstämmelse med Washington-konventionen eller icke. Herr statsrådet har i sitt anförande behandlat det spörsmålet, och han har med ja besvarat frågan, om vår lag borde hbringas i överensstämmelse med Washington-konventionen. För min del blev jag icke övertygad av herr statsrådets argumentering. Det är ju som bekant så, att endast ett fåtal stater och ingen av de viktigaste industristaterna hittills ratificerat Washington-konventionen, och samtidigt förhåller det sig så, att man alltmer nalkas den tidpunkt, då man skall taga upp frågan om Washington-konventionens revision. Denna konvention skall nämligen revideras inom tio år från dess ikraftträdande, och det är givet, att detta revisionsarbete icke kan och icke kommer att uppskjutas till allra sista stund.</w:t>
        <w:br/>
        <w:br/>
        <w:t>Nu är det ju bekant, att åtskilliga stater i flera olika avseenden hysa betänkligheter mot Washington-konventionen, och man kan därför vara alldeles säker på, att de komma att framföra sina önskemål rörande det ena eller andra stadgandet vid den revision, som förestår. Man kan icke veta, med vilken framgång dessa yrkanden komma att framställas, men det är icke osannolikt, att konventionen kommer att ändras på en eller annan punkt.</w:t>
        <w:br/>
        <w:br/>
        <w:t>Helt nyligen har man hållit en konferens rörande Washington-koventionen i London, det var under tiden 15 t. o. m. 19 mars i år. Den konferensen är berörd i den reservation, som är avgiven av herr Sigfrid Hansson m. fl. Dessa reservanter hänvisa som till ett hoppfullt symtom till den överenskommelse, som träffades på denna konferens i London med representanter för de brittiska, franska, tyska, belgiska och italienska regeringarna. För min del har jag emellertid mycket svårt att inse, att denna konferens skulle ställa i utsikt en snar ratifikation av de stater, som deltogo i densamma. Vad som förekom vid konferensen var ju endast det, att man sökte komma överens om den juridiska tolkningen av Washington-konventionen, som vore den riktiga. Det är allmänt känt, att vid konferensen förekom det mycket allvarliga och skarpa brytningar mellan de deltagande staterna, och att det hängde på ett hår, att hela konferensen blivit ett fiasko. Anledningen härtill var den, att en del stater ville tolkningsvägen åstadkomma de ändringar uti Washington-konventionen, som de ansågo vara nödvändiga, för att de skulle kunna ratificera den.</w:t>
        <w:br/>
        <w:br/>
        <w:t>Nu är det givet, att när konferensen slutade därmed, att man fastslog den juridiska innebörden av konventionen på ett sätt, som ur vissa synpunkter i den ena staten, ur andra synpunkter i den andra staten väcker starka betänkligheter, har man därmed rent av för dessa stater försvårat en ratifikation av Washington-konventionen. Man måste nämligen komma ihåg, att verkan av denna överenskommelse skulle vara helt annan, om staterna hade ratificerat</w:t>
        <w:br/>
        <w:br/>
        <w:t>Då jag kommit att tala om den förestående revisionen av Washington-kona ventionen, vill jag för övrigt uttrycka den tanken, att det kanhända icke kan | anses vara alldeles uteslutet, att vissa av de undantag från Washington-konventionens regler, som finnas i vår lag, skulle kunna komma att beaktas vid en blivande revision av konventionen, t. ex. det av våra undantag, som består däri, att vår lag icke är tillämplig på företag, som icke ha mer än fyra arbetare. Det undantaget har i vårt land tillkommit av praktiska skäl, och den utredning, som ägt rum rörande erfarenheterna från utlandet, har givit vid handen, att man även där fått den uppfattningen, att det är mycket svårt att kontrollera arbetstidslagens tillämpning vid smärre företag.</w:t>
        <w:br/>
        <w:br/>
        <w:t>Det är därför, såvitt jag kan förstå, icke uteslutet, att frågan om införandet av ett dylikt undantag kan komma upp vid revision av konventionen. Det är även möjligt, att konventionen även i andra punkter kan komma att ändras till större smidighet i överensstämmelse med de erfarenheter, vi vunnit i vårt land. Det föreligger alltså nu starka skäl för, att vi icke nu binda oss vid en konvention, vars fortsatta livslängd i dess nuvarande form är så pass osäker. För vidhållandet av en provisorisk lagstiftning på detta område talar också det osäkerhetstillstånd, som alltjämt råder på den internationella arbetsmarknaden, ett osäkerhetstillstånd, som naturligtvis återverkar även på förhållandena här hos oss.</w:t>
        <w:br/>
        <w:br/>
        <w:t>Ett provisorium är dessutom av betydelse även ur den synpunkten, att det utgör en maning för regeringen att med uppmärksamhet följa förhållandenas utveckling och ständigt ha uppmärksamheten riktad på möjligheten och lämpligheten av att vidtaga de ändringar i lagtexten, som ändrade förhållanden kunna göra önskvärda.</w:t>
        <w:br/>
        <w:br/>
        <w:t>Det är dylika överväganden, som gjort, att utskottet har ställt sig på den ståndpunkten, att vi icke skola övergå till en definitiv lagstiftning utan alltjämt hålla oss till en provisorisk. Däremot ha sådana politiska synpunkter, som herr statsrådet misstänkte skulle ligga till grund för utskottets ståndpunkt, icke haft någon som helst betydelse. Det har icke fallit mig in att räkna med en sådan eventualitet, som herr statsrådet framkastade i den första pessimistiska delen av sitt anförande, då herr statsrådet talade om den möjligheten, att vi om fyra år skulle ha högermajoritet i denna kammare. Jag vet icke, från vilket parti högern enligt herr statsrådets tanke skulle göra så stora vinster. För min del lämnar jag alldeles därhän vilka förluster herr statsrådet räknade med i sitt stilla sinne, ty hela denna frågeställning saknar varje spår av intresse för mig.</w:t>
        <w:br/>
        <w:br/>
        <w:t>Jag skall slutligen beröra endast några få materiella stadganden i lagen. Herr statsrådet talade om de ändringar, utskottet vidtagit i fråga om första paragrafen i Kungl. Maj:ts proposition. Herr statsrådet uppehöll sig där ganska mycket vid det förhållandet, att utskottet avböjt Kungl. Maj:ts förslag att lägga statens arbetare under åttatimmarslagens reglering. Men när herr statsrådet därvid vände sig mot utskottet, missuppfattade herr statsrådet kanhända i någon mån utskottets ståndpunkt, ty utskottet har icke, som herr statsrådet trodde, fattat denna fråga som rent formell. Det är visserligen sant, att de administrativa föreskrifter, som utfärdats rörande statens arbeten, i mångt och mycket och i stort sett motsvara en åttatimmarslag i fråga om det slutliga resultatet, men det finns dock en hel del avvikelser i detaljerna, som icke äro utan betydelse, och det förefaller utskottet, som om det icke förelåge någon som helst betänklighet mot att förbehålla staten i egenskap av arbetsgivare handlingsfrihet i större omfattning än den enskilde, ty staten behöver väl icke genom</w:t>
        <w:br/>
        <w:br/>
        <w:t>rådet ansåg, att det finnes ett särskilt skäl för att underkasta staten åttatimmarslagens bestämmelser nämligen det, att staten genom vissa grenar av sin verksamhet konkurrerar med de enskilda. Därför borde det, framhöll herr statsrådet, vara riktigt, att staten underkastade sig samma lagbestämmelser som de enskilda. Men för de enskilda, som konkurrera med staten, kommer det naturligtvis icke an därpå, att reglerna rörande staten som arbetsgivare stå i samma lag, som reglerar de enskildas förhållanden, utan för den enskilde kommer det givetvis endast an därpå, att det rent materiellt förhåller sig på det sättet, att staten icke genom att utkräva längre arbetstid skaffar sig förmåner, som den förmenar andra att åtnjuta.</w:t>
        <w:br/>
        <w:br/>
        <w:t>Beträffande sedan frågan om undantag rörande företag, som sysselsätta högst fyra arbetare, vill jag säga, att det undantaget har på grund av vunnen erfarenhet av riksdagen införts i lagen, och att detta undantag avser att från lagens tillämpning avskära ett mycket svårkontrollerbart gränsområde. Det finns, såvitt jag förstår, inga bärande sakliga skäl för att riksdagen nu skulle ändra sin ståndpunkt i detta avseende.</w:t>
        <w:br/>
        <w:br/>
        <w:t>Till slut skall jag endast säga några ord med anledning därav att utskottets ärade vice ordförande i sitt anförande inblandade en del politiska synpunkter. Herr vice ordföranden ställde emot varandra de ståndpunkter, som högern och bondeförbundet kommit att intaga i denna fråga. Jag vill då säga, att med den ståndpunkt högern intagit genom att gå in för den rent negativa linjen har följt, att högern icke haft tillfälle att göra några insatser för att få lagen uppmjukad och utformad, där så kunde vara behövligt, till bättre överensstämmelse med näringslivets krav. Om man ser på de motioner, som väckts från högerhåll, finner man, att de önskemål, som man där talar om, äro mycket svagt motiverade. Utskottet har således i dessa motioner icke haft utgångspunkter för att kunna allvarligt och sakligt taga under övervägande frågan om ytterligare uppmjukningar i lagen. Emellertid erbjuder det provisorium, som, efter vad jag hoppas, kommer till stånd i dag, ytterligare möjligheter att samla erfarenheter, och kunde det visas, att ändring av en eller annan detalj i lagen är nödvändig för att undanröja svårigheter för den ena eller andra industrien, ber jag utskottets ärade vice ordförande vara övertygad om, att jag för min del kommer att upptaga frågan därom till opartisk och saklig prövning.</w:t>
        <w:br/>
        <w:br/>
        <w:t>Vad bondeförbundets hållning beträffar, är jag icke befogad att göra något uttalande å förbundets vägnar. Det är ju mycket möjligt, att det kan finnas en eller annan medlem av bondeförbundet, som ser detta problem ur de synpunkter, som utskottets ärade vice ordförande ansåg vara de lämpliga för dem och som han tillrättalade för deras räkning. För min del har jag däremot, när jag tagit ståndpunkt till det problem, som här föreligger, försökt att lösa det med hänsyn tagen till samtliga de berättigade intressen, som därav kunna beröras, därvid naturligtvis också till det svenska jordbrukets intressen, men främst med hänsyn därtill, att denna fråga är en stor samhällsfråga, som framför allt bör ses ur det allmännas intresse.</w:t>
        <w:br/>
        <w:br/>
        <w:t>ed dessa ord, herr talman, ber jag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511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