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1711</w:t>
      </w:r>
    </w:p>
    <w:p>
      <w:r>
        <w:rPr>
          <w:b/>
        </w:rPr>
        <w:t xml:space="preserve">Datum: </w:t>
      </w:r>
      <w:r>
        <w:t>1927-03-03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Magnusson (Lantmanna- och borgarepartiet inom andrakammaren, man)</w:t>
      </w:r>
    </w:p>
    <w:p>
      <w:r>
        <w:rPr>
          <w:b w:val="0"/>
        </w:rPr>
        <w:t>Herr talman! Herr Hage tog i nägon mån miste på den lilla roligheten jag tillät mig göra i mitt förra anförande. Nämligen att det finnes förståndiga socialdemokrater. Detta har nu herr Hage ändrat till förståndiga riksdagsmän. Och visst finns det sådana; jag lämnar i detta sammanhang outrett om herr Hage hör till dessa.</w:t>
        <w:br/>
        <w:br/>
        <w:t>Herr Månsson i Furuvik talade om, hur det gått till, när dessa ensittarlägenheter kommo till. Det var, som han sade, en besutten bonde, som gav en person löfte att bygga på hans mark, och det var ord och handslag och ingen skriftlig bekräftelse. Detta kan ju vara riktigt. Men så fortsätter herr Månsson och säger, att så dog denne bonde, och sedan kommo sönerna till, och de ha varit bestuckna av kapitalistiska dogmer och vilja därför icke hålla ord och trygga ensittaren i hans besittning. Men, herr Månsson, det är icke bara jordägarna, som äro underkastade dödligheten utan även ensittarna; och i talrika fall är det icke ens sagt, att det är den ursprunglige ägarens barn och arvingar som nu inneha lägenheten, utan det är vilt främmande personer, som äga jorden. Och å andra sidan kan det även finnas fall där jorden icke varit upplåten mer än ganska tillfälligt, det har aldrig varit meningen, att någon inlösning skulle komma i fråga, utan jordägaren skulle återfå huset av den som bodde däri. Jordägaren ville givetvis icke riskera att vem som helst skulle komma i tillfälle att lösa in egendomen, men en sådan inlösning kunde det oaktat ske från jordägaren trots kapitalistiska dogmer och all kapitalistisk anstuckenhet. Men om det förhåller sig så, att lägenheten blivit upplåten utan äganderätt till huset, då blir ju förhållandet jämställt med vilket arrendeförhållande som helst, och skall i sådant fall lösningsrätt inträda, komma vi in på frågan, att arrendatorn skall få rätt till tvångsinlösning. Men detta för oss långt utöver ensittarlagens bestämmelser, det måste vi vidhålla. Att gå in för en generell lagstiftning, som skulle vara tillämplig, därför att innehavaren påstår sig äga någon liten del av huset på grund av utförda arbeten eller dylikt, det bör ju var och en kunna förstå, att det icke går för sig att lagfästa, utan att man samtidigt föres ut i rena lösligheten, och det är ju icke tillrådligt.</w:t>
        <w:br/>
        <w:br/>
        <w:t>Herr Pettersson i Hällbacken säger, att här i riksdagen gör man inga revolutioner. Ja, det är sant, men icke vill väl ändå herr Pettersson i Hällbacken</w:t>
        <w:br/>
        <w:br/>
        <w:t>påstå, att detta ärende skulle vara av den omfattningen, att vi fördenskull skulle genomföra någon revolutionerande lagstiftning. Riksdagen har varit tillmötesgående mot dessa ensittare, och vi ha undan för undan utsträckt deras rätt. Men nu ha vi enligt min uppfattning kommit till den gränsen, att en vidare utsträckning kommer att ställa oss inför den frågan: skall arrenderätten eller överhuvud taget nyttjanderätten innebära en generell lösningsrätt eller inte? Skola vi gå till en vidare utsträckning i enlighet med motionärens förslag och i viss mån också i enlighet med reservationens innebörd, då måste vi knäcka detta stora spörsmål om lösningsrätt för arrendatorer, och det tror jag för min del, att kammaren vid detta tillfälle icke är hågad för, och jag tror ej heller, att kammaren nu har möjlighet att överblicka en sådan fråga och att taga ståndpunkt härtill.</w:t>
        <w:br/>
        <w:br/>
        <w:t>Det är därför, som jag anser, att utskottets ståndpunkt i denna fråga är den förståndigaste, och, jag vågar betona, att det har varit dessa skäl, för vilka utskottets socialdemokratiska ledamöter ha böjt sig. Jag vill också tro, att de äro beredda att stå för den ståndpunkten även inom kammaren och vid den kommande voteringen.</w:t>
        <w:br/>
        <w:br/>
        <w:t>För övrigt förefaller det, som om det vore två skilda saker, som herrarna här resonera om, och motionären har själv icke varit riktigt på det klara med, vilkendera linjen han avsett att beträda med sin motion. När man här hör min värderade bänkkamrat tala om, att det förekommer fall, då en ensittare icke kan få lösningsrätt till en lägenhet, därför att jordägaren tillsläppt visst material till byggnaden, då är det, såvitt jag förstår, en omständighet, som icke beröres i den föreliggande motionen, så framt man nämligen vill förstå motionären, såsom han själv vill bli förstådd. Enligt herr Luterkorts reservation är det från hans synpunkt endast fråga om ensittarlagens tillämpning och ej om dess principer. Han förmenar att en tvist om äganderätten till en ensittares lägenhet borde avgöras av förrättningsmännen vid förrättningstillfället, i stället för att, såsom lagen förutsätter, en sådan fråga om äganderätt skall hänskjutas till domstol. Det är den ståndpunkt, som motionären slutligen stannat för, och om herrarna yrka bifall till motionen, så kommer kanske den malören att inträffa, att inte ens motionären själv kan följa herr Hage och dem, som eventuellt instämma med honom och rösta för hans yrkande.</w:t>
        <w:br/>
        <w:br/>
        <w:t>Jag vill erinra om att det var den förra socialdemokratiska regeringen, som framlade proposition om den senaste ändringen i ensittarlagen och att vid det tillfället jämväl här påtalade fråga var föremål för särskild prövning, alldenstund det då väcktes motioner, som påkallade sådan ändring i lagen, att densamma komme att gälla även sådana fall, då ensittaren icke ägde hela byggnaden å lägenheten. Motionerna lämnades av riksdagen utan bifall, och jag föreställer mig, att den omständigheten, att såväl regeringen som riksdagen år 1925 intogo samma ståndpunkt som utskottet nu gjort, i någon mån inverkat på de socialdemokratiska ledamöter av utskottet, som nu anslutit sig till majoriteten. Jag behöver naturligtvis icke tala å deras vägnar, men det förefaller mig som om detta vore en fullgod förklaring till att icke någon av utskottets ledamöter ställt sig på motionärens linje.</w:t>
        <w:br/>
        <w:br/>
        <w:t>Vad slutligen tillämpningen i allmänhet av ensittarlagen angår, vill jag som min lilla erfarenhet uttala, att lagen icke i allo verkat lyckligt. Det har mån-</w:t>
        <w:br/>
        <w:br/>
        <w:t xml:space="preserve">gen gång hänt, att jordägarens intressen på ett otillbörligt sätt trätts för nära. Missförhållanden ha förekommit icke blott i sådana fall, som herr Månsson framdrog, utan det har även förekommit fall, då jordägaren uppenbarligen haft den moraliska rätten att vägra inlösen, men ensittaren har suttit med trumf på hand och kunnat tvångsvis göra sin rätt gällande. Det har anförts bl. a. ett fall, som ter sig synnerligen anmärkningsvärt. Det gällde en ålderstigen </w:t>
      </w:r>
      <w:r>
        <w:rPr>
          <w:b/>
        </w:rPr>
        <w:t>änka²</w:t>
      </w:r>
      <w:r>
        <w:rPr>
          <w:b w:val="0"/>
        </w:rPr>
        <w:t xml:space="preserve">, som icke längre kunde taga vård om sig själv utan måste omhändertagas av det allmänna, men innan så skedde, förmåddes </w:t>
      </w:r>
      <w:r>
        <w:rPr>
          <w:b/>
        </w:rPr>
        <w:t>hon²</w:t>
      </w:r>
      <w:r>
        <w:rPr>
          <w:b w:val="0"/>
        </w:rPr>
        <w:t xml:space="preserve"> av sina presumtiva arvingar att begära att få sin fastighet friköpt enligt ensittarlagen, vilket också lyckades trots jordägarens protester. Och vad blev följden? Jo, följden blev den, att lägenheten omedelbart försåldes i rent spekulativt syfte för en köpeskilling däri tomtpriset ingick med ett belopp som väsentligen översteg vad Jordägaren fått för tomten.</w:t>
        <w:br/>
        <w:br/>
        <w:t>Med sådana exempel för ögonen tror jag, att det vore klokt av de ledamöter av riksdagen, som år efter år så energiskt påyrka att man bör utsträcka ensittarlagens tillämpning allt längre och längre, att tänka sig för litet. Man får väl ändå inte träda jordägarens mången gång befogade intressen alltför nära. Det är nämligen, herr Fabian Månsson, icke alls säkert, att Jordägaren alltid är en hård och hänsynslös godsägare, utan han kan också vara en liten bonde, som har mycket starkt intresse av att få för fullt legitima behov disponera ett område, som innehaves av en ensittare och kanske är beläget i omedelbar närhet av jordägarens åbyggnader.</w:t>
        <w:br/>
        <w:br/>
        <w:t>Jag kände mig i någon mån apostroferad i herr Månssons första yttrande men Jag vill liksom herr Öberg bekänna, att jag för min hållning i denna fråga har synnerligen gott samvete. Jag tror, att jag snarare än herr Månsson intar den ståndpunkt, som närmast sammanfaller med den nu levande bondeklassens tänkesätt i frågan.</w:t>
        <w:br/>
        <w:br/>
        <w:t>Herr talman, jag ber att få yrka bifall till utskottets hemställan.</w:t>
      </w:r>
    </w:p>
    <w:p>
      <w:pPr>
        <w:pStyle w:val="Heading2"/>
      </w:pPr>
      <w:r>
        <w:t>2. Gustaf Hellbacken (Socialdemokraterna, man)</w:t>
      </w:r>
    </w:p>
    <w:p>
      <w:r>
        <w:rPr>
          <w:b w:val="0"/>
        </w:rPr>
        <w:t>Herr talman! Jag skall be att få säga några ord dels med anledning av den siste ärade talarens anförande och dels med anledning av vad herr Magnusson i Skövde yttrade.</w:t>
        <w:br/>
        <w:br/>
        <w:t xml:space="preserve">Herr Magnusson i Skövde sade klart och tydligt ifrån — och det behövde han knappast göra, ty det förstodo nog de flesta av kammarens ledamöter förut — att han icke ansåg en ytterligare utsträckning av ensittarlagens tillämpning vara tillrådlig. Det är alldeles klart, och det veta vi ändå, att, hur behjärtansvärd en sådan sak som denna än månde vara, så står herr Magnusson på avslagslinjen. Men då han sedan talade om, att man ännu icke haft någon erfarenhet, om det verkligen inträffat några fall, då lagens bestämmelser visat sig otillräckliga, vill jag häremot framhålla, att en senare talare, nämligen herr Andersson i Rasjön, ehuru även han ställde sig på utskottsmajoritetens ståndpunkt, ansett sig kunna konstatera, att lagen icke verkat på det sätt man tänkt sig. Hans erfarenhet gick visserligen på den linjen, att ensittarlagen i vissa fall skulle terrorisera jordägaren. Jag känner icke till några sådana fall som det där fallet med den ålderstigna </w:t>
      </w:r>
      <w:r>
        <w:rPr>
          <w:b/>
        </w:rPr>
        <w:t>änkan²</w:t>
      </w:r>
      <w:r>
        <w:rPr>
          <w:b w:val="0"/>
        </w:rPr>
        <w:t xml:space="preserve">. Man känner Ju för övrigt inte till de närmare omständigheterna därvidlag. Det är Ju i och för sig icke så onaturligt, att om tomten för ett billigt pris inlösts enligt ensittarlagens bestämmelser, köpeskillingen för tomten jämte huset betydligt överstigit lösensumman. Ty det är väl ändå i allmänhet byggnaden, som har värde. Och man bör ju inte förmena </w:t>
      </w:r>
      <w:r>
        <w:rPr>
          <w:b/>
        </w:rPr>
        <w:t>änkans²</w:t>
      </w:r>
      <w:r>
        <w:rPr>
          <w:b w:val="0"/>
        </w:rPr>
        <w:t xml:space="preserve"> arvingar, att de, om de icke själva hade någon användning för fastigheten, drogo nytta av det värde fastigheten representerade och som husets innehavare under årens lopp påräknat att en gång erhålla genom att försälja densamma.</w:t>
        <w:br/>
        <w:br/>
        <w:t>I det sammanhanget skulle jag gentemot den invändning, som gjorts, att man</w:t>
        <w:br/>
        <w:br/>
        <w:t>i sådana fall, som motionären avsett, borde kunna göra upp saken i godo, vilja</w:t>
        <w:br/>
        <w:br/>
        <w:t>inlösen i vissa framhålla, att motionen lika litet som den socialdemokratiska regeringens pro-</w:t>
        <w:br/>
        <w:br/>
        <w:t>position riktar sig mot jordägare, som äro så vidsynta, att de göra upp i godo, utan dem, hela denna lagstiftning vänder sig mot, det är de oförbätterliga medborgare, som äro sådana, att de ge efter först då de genom lagen tvingas därtill och som genom bryska åtgärder, i detta fall mot ensittarna, frambesvärja här påkallade lagstiftning.</w:t>
        <w:br/>
        <w:br/>
        <w:t>Efter dessa anmärkningar skall jag, herr talman, dels därför att reservationen icke utmynnar i något yrkande och dels därför att motionärens anhängare icke skola splittras på olika yrkanden, bedja att få återtaga min tidigare gjorda hemställan om bifall till reservationen och i stället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1711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