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536</w:t>
      </w:r>
    </w:p>
    <w:p>
      <w:r>
        <w:rPr>
          <w:b/>
        </w:rPr>
        <w:t xml:space="preserve">Datum: </w:t>
      </w:r>
      <w:r>
        <w:t>1927-05-20</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John Almkvist (Frisinnade folkpartiet, man)</w:t>
      </w:r>
    </w:p>
    <w:p>
      <w:r>
        <w:rPr>
          <w:b w:val="0"/>
        </w:rPr>
        <w:t>Herr greve och talman, mina herrar! I den kungl. propositionen uttalar departementschefen, att han fäster lika stort avseende vid att en omorganisation av det inre skolarbetet kommer till stånd som vid att nödvändiga ändringar i den yttre formen komma att vidtagas. Enligt min uppfattning har Kungl. Maj:t enligt administrativ rätt befogenhet att utan riksdagens hörande vidtaga ändringar och förbättringar i gällande kurser och timplaner för här ifrågavarande skolformer. Lika viktigt som jag anser det vara, att riksdagen i detalj bestämmer, huru den yttre organisationsramen skall te sig, lika oriktigt anser jag det vara, att riksdagen i fråga om det inre arbetet skall antaga sådana bestämmelser, som binda Kungl. Maj:t på ett område, där meningarna kunna vara så vitt skiftande som på det ifrågavarande. Då emellertid frågan om omorganisation av skolsystemet framlades inför riksdagen. ansåg jag för min del, att justessen fordrade, att jag visade vad regeringen med hänsyn till det inre arbetet förde i skölden, och jag gjorde detta under den form, att jag hemställde om riksdagens yttrande på ifrågavarande punkt. Det har naturligtvis aldrig varit meningen att vidtaga någon åtgärd, som kunde medföra kostnader, utan att därom göra särskild framställning till riksdagen. Den saken har jag för min del ansett vara självfallen.</w:t>
        <w:br/>
        <w:br/>
        <w:t>Den föregående ärade talaren ville emellertid på denna punkt binda Kungl. Maj:t, och i det avseendet föreligger en väsentlig skillnad mellan det yrkande, han framställt och det som framställts i utskottets utlåtande. ty utskottet har enligt min mening endast uttalat en självklar sats, då det sagt, att Kungl. Maj:t skall för riksdagen anmäla de konsekvenser i ekonomiskt avseende, som kunna följa av det inre arbetets omdaning, men däremot har utskottet icke</w:t>
        <w:br/>
        <w:br/>
        <w:t>velat lägga något hinder i vägen för Kungl. Maj:t att nu omedelbart i de skolor, som komma att beröras nästkommande läsår av den beslutade reformen, vidtaga vissa ändringar och jämkningar även med hänsyn till det inre arbetet.</w:t>
        <w:br/>
        <w:br/>
        <w:t>Den föregående ärade talaren och många med honom ha sagt, att visserligen en del av de principer, som uttalats i fråga om det inre arbetet, kunna vinna gillande och allmän anslutning, men, säger man samtidigt, det är endast lösryckta satser. Det finnes ingenting närmare angivet om den egentliga innebörden. Särskilt anmärker man på uttrycket koncentration. Häremot vill jag anföra, att när en skolproposition, avsedd att föreläggas riksdagen, skall skrivas, kan i en sådan icke lämnas en detaljerad utredning angående olika pedagogiska förbättringsåtgärder och metoder. Beträffande koncentrationen enbart skulle kunna skrivas långa avhandlingar av mycket vidlyftigare omfattning än hela den kungl. propositionen. Jag skall nu icke upptaga kammarens tid med att söka definiera begreppet koncentration, utan jag skall endast nämna några ord om huru det för närvarande är för att visa, hur nödvändiga förbättringarna äro.</w:t>
        <w:br/>
        <w:br/>
        <w:t>Våra skolors timplaner äro fullständigt sönderrivna. Det visar bl. a. det sätt, på vilket ämnena förekomma; ena timmen har man latin, en annan timme matematik, den tredje timmen biologi och en fjärde timme sång o. s. v. Huru kan man begära, att hos lärjungarna intrycken skola stå kvar från den ena timmen till den andra av den muntliga framställning, som läraren sannolikt givit under föregående timme, när man efter tio minuter eller en kvart skall anpassa sig och rikta uppmärksamheten på ett fullständigt nytt område, som tillhör en helt annan ämnesgrupp? Det fordras här samling i arbetet; det kräves koncentration inom varje ämne. Den skall utföras av ämneslärare. Därutöver fordras också en koncentration av delar i olika med varandra besläktade ämnen, och den skall utföras genom samarbete mellan de skilda ämneslärarna. Huvudplanerna härför skola uppgöras av centrala skolmyndigheter, men vid deras tillämpning och utförande skall ett ingående samarbete äga rum mellan skolans olika lärare på kollegierummet. Det är alltså samling i undervisningen, som det är fråga om, och jag kan icke föreställa mig, att åtgärder i denna riktning skola medföra kostnader av den art och omfattning, att riksdagen TER äskvll skall finna sig förhindrad godkänna, vad på denna punkt föreslagits.</w:t>
        <w:br/>
        <w:br/>
        <w:t>Sedan kommer jag till »arbetsskolan». Detta ord har blivit ett slagord. Det är icke ett lyckligt valt uttryck. Arbetsskoleprincipens tillämpning innebär endast, att lärjungarnas självverksamhet skall uppmuntras i största möjliga utsträckning, och det kan givetvis ske därigenom, att uppgifterna så givas eleverna av lärarna, att lärjungarna finna intresse i sitt arbete inom skolan och bli fästa därvid på grund av såväl arbetssättet som arbetets innehåll. Detta är vad man i huvudsak vill vinna genom arbetsprincipens tillämpning inom skolväsendet.</w:t>
        <w:br/>
        <w:br/>
        <w:t xml:space="preserve">Vad beträffar slöjd för gossar och undervisning i huslig ekonomi för </w:t>
      </w:r>
      <w:r>
        <w:rPr>
          <w:b/>
        </w:rPr>
        <w:t>flickor²</w:t>
      </w:r>
      <w:r>
        <w:rPr>
          <w:b w:val="0"/>
        </w:rPr>
        <w:t>, är det uppenbart, att i det avseendet icke någonting kan göras utöver ramen för nu beviljade anslag. Skall här förekomma någon utvidgning, måste framställning ske till riksdagen.</w:t>
        <w:br/>
        <w:br/>
        <w:t>Man har under debatten även uttalat sig rörande linjeuppdelning på gymnasium och ansett, att den kommer att medföra kostnader. Beträffande denna sak tillåter jag mig endast hänvisa till de bestämmelser, som gälla om anställandet av nya lärare, samt till det förhållandet, att Kungl. Maj:t skall godkänna förslagen om linjedelning. Häri ligger en garanti för att begränsning skall bliva iakttagen.</w:t>
        <w:br/>
        <w:br/>
        <w:t>Jag tillåter mig hemställa, att denna kammare måtte biträda utskottets förslag.</w:t>
      </w:r>
    </w:p>
    <w:p>
      <w:pPr>
        <w:pStyle w:val="Heading2"/>
      </w:pPr>
      <w:r>
        <w:t>2. Oscar Olsson (Socialdemokraterna, man)</w:t>
      </w:r>
    </w:p>
    <w:p>
      <w:r>
        <w:rPr>
          <w:b w:val="0"/>
        </w:rPr>
        <w:t>Herr talman! Jag skall inte säga många ord, ty jag har ju ingen förhoppning att kunna lugna herr Karl Johan Ekman genom att närmare gå in på saken. Han fick, liksom en och annan av de övriga medlemmarna i utskottet, en skrämselchock på grund av en motion, som jag hade väckt och som inte alls förekommer 1 detta sammanhang i utskottets utlåtande. Min motion, som herr Ekman talat så mycket om, gäller den praktiska realskolan, vilken behandlas i utlåtandet på sid. 77 och i utskottsklämmen under II b), nämligen där det står talat om, att utskottet hemställer, att riksdagen måtte »i skrivelse till Kungl. Maj:t anhålla, det Kungl. Maj:ts täcktes verkställa utredning, huruvida och i vilken utsträckning dels praktiska bildningslinjer må kunna anordnas på realskolans åldersstadium» o. s. v. Det är i motiveringen till denna min motion, som herr Karl Johan Ekman trodde sig upptäcka ett angrepp mot kristendomsundervisningen, och nu har han i sin ängslan gått så långt i sina försök att skydda denna icke alls hotade kristendomsundervisning, att han opponerar mot både självverksamheten och koncentrationen i undervisningen och söker inbilla kammaren, att skola vi nu ha självverksamhet och koncentration i undervisningen, så är kristendomsämnet alldeles tillspillogivet. Detta är ju en panikartad föreställning, som borde ha kunnat</w:t>
        <w:br/>
        <w:br/>
        <w:t>"klaras upp redan långt förut, och som herr Ekmans meningsfränder i andra kammaren, när det gäller realskolan, också ha övergivit, vilket herr Ekman för resten kunde ha sett 1 Svenska Morgonbladet, som för några dagar sedan behandlade frågan.</w:t>
        <w:br/>
        <w:br/>
        <w:t xml:space="preserve">Den motion det här gäller rör således en annan punkt. Vad nu mitt uttalande där om kristendomsämnets fördelning på andra ämnen beträffar, kan Jag också i korthet lugna kammaren genom att påvisa, att vid en mycket högt ansedd skola här i Sverige, som visst icke på något håll, inte ens från herr Ekmans sida, misstänkes för kristendomsfientlighet, utan alldeles tvärtom, nämligen Hindås privata </w:t>
      </w:r>
      <w:r>
        <w:rPr>
          <w:b/>
        </w:rPr>
        <w:t>flickskola²</w:t>
      </w:r>
      <w:r>
        <w:rPr>
          <w:b w:val="0"/>
        </w:rPr>
        <w:t>, har man i mycket stor utsträckning gått den väg, som Jag rekommenderat såsom pedagogiskt praktisk i fråga om kristendomsundervisningen. Detta beträffande den saken.</w:t>
        <w:br/>
        <w:br/>
        <w:t>Vad sedan angår den fråga, som även tagits upp i andra kammaren, nämligen kristendomsundervisningen i gymnasiet, har utskottet där gått alldeles motsatt väg mot vad herr Ekman inbillat sig vara fallet. Som bekant har kristendomsundervisningen 1 gymnasieklasserna nu för tiden 2 eller 1 timme i veckan. Detta kan man möjligen säga vara en undanskjuten ställning för kristendomsundervisningen. Enligt utskottets förslag skulle kristendomsämnet inte ingå 1 den kärna av obligatoriska ämnen det är fråga om, utan kunna tillväljas av de lärjungar, som önskade studera detta ämne särskilt eller som behövde det för sina blivande studier, d. v. s. enligt utskottsförslaget skulle kristendomsämnet säkerligen få 4 eller 5 timmar i veckan för de elever, som ännu studera det i första, andra eller tredje ringarna. Även de, som bara ämna studera det i en klass, finge säkerligen lika mycket utrymme för grundliga studier i ämnet, som man nu får i hela gymnasiet genom att bara ägna 1 eller 2 timmar i veckan däråt i varje klass.</w:t>
        <w:br/>
        <w:br/>
        <w:t>Det är, som sagt, tämligen omöjligt, enligt den erfarenhet jag haft, att lugna herr Ekman i det fallet, men jag ansåg mig ändå skyldig att till protokollet framföra dessa synpunkter. Ett bifall till herrar Ekmans och Wallerius” reservation 1 fråga om ämnesfördelningen på gymnasiet skulle sönderbryta hela den linjeuppdelning det är fråga om, den läggning av undervisningen, som gör, att man skulle i gymnasiet kunna begränsa sig till ordentliga studier i 7 ämnen för att i någon mån få ämnesträngseln avlägsnad. Här föreslår nu herr Ekman i det hänseendet, att kärnan skall bestå av 5 ämnen. Ja, det är en kärna, bestående av så gott som alltsammans, och några tillvalda ämnen 1 överens stämmelse med behovet för de blivande studenterna, kunna här knappast kom-</w:t>
        <w:br/>
        <w:br/>
        <w:t>ma på tal. Ett bifall till herr Wallerius” reservation i det hänseendet skulle således pedagogiskt alldeles sönderbryta och fördärva den utveckling, som utskottet har förutsatt, en utveckling, som för resten även speciellt pedagogerna bland högerreservanterna äro synnerligen intresserade av, ehuru de gärna velat ha ett års betänketid för närmare utredning. Detta är således inte ens något krav från det parti, som herr Ekman representerar, vilket också synes av den omständigheten, att reservanterna i detta fall ha begränsat sig till två. Jag ber, herr talman, få yrka bifall till utskottets motivering.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536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