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1780</w:t>
      </w:r>
    </w:p>
    <w:p>
      <w:r>
        <w:rPr>
          <w:b/>
        </w:rPr>
        <w:t xml:space="preserve">Datum: </w:t>
      </w:r>
      <w:r>
        <w:t>1928-04-28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Signe Vessman (Socialdemokraterna, woman)</w:t>
      </w:r>
    </w:p>
    <w:p>
      <w:r>
        <w:rPr>
          <w:b w:val="0"/>
        </w:rPr>
        <w:t>Herr talman! Med full vetskap om omöjligheten att kunna vinna något mot utskottets enhälliga avslagsyrkande önskar jag dock säga ett par ord.</w:t>
        <w:br/>
        <w:br/>
        <w:t>Visserligen hava vi motionärer icke hyst några särdeles stora förhoppningar att kunna få riksdagen att gå in för vad motionen åsyftar, men då det föreligger verkligt starka skäl för en ändring av bestämmelserna rörande hemortsrättsförvärvet, ansågo vi oss böra fästa riksdagens uppmärksamhet härpå.</w:t>
        <w:br/>
        <w:br/>
        <w:t xml:space="preserve">Som det nu är, får faktiskt den oskyldige ofta lida för den skyldige. Vi hava flera exempel på, huru ogifta </w:t>
      </w:r>
      <w:r>
        <w:rPr>
          <w:b/>
        </w:rPr>
        <w:t>mödrar²</w:t>
      </w:r>
      <w:r>
        <w:rPr>
          <w:b w:val="0"/>
        </w:rPr>
        <w:t>, som själva i mycket hög grad bidraga till sitt barns försörjning, men, genom att barnafadern försummat eller icke haft förmågan att fullgöra sin skyldighet utan fattigvården måst träda till, icke kunnat förvärva ny hemortsrätt. Däremot kan den, som är försumlig och skyldig till att fattigvård måste utbetalas, fritt och ledigt förvärva sig hemortsrätt i den kommun där han vistas. Härvid är att märka, att modern i sådana fall ofta får betala eller bidraga mera till barnets underhåll än om barnafadern betalte det honom ådömda bidraget, ty fattigvården betalar sällan ut samma belopp, utan i de flesta fall mindre.</w:t>
        <w:br/>
        <w:br/>
        <w:t xml:space="preserve">Samma förhållande drabbar en familjefader, om fattigvården bidrager till underhåll av </w:t>
      </w:r>
      <w:r>
        <w:rPr>
          <w:b/>
        </w:rPr>
        <w:t>hustruns²</w:t>
      </w:r>
      <w:r>
        <w:rPr>
          <w:b w:val="0"/>
        </w:rPr>
        <w:t xml:space="preserve"> barn före äktenskapet, där barnfadern försummar att fullgöra sin skyldighet. Familjefadern kan då ej förvärva ny hemortsrätt, men barnets fader tillfaller den rätten obehindrat, trots försummelsen. Man kan gott förstå, att sådant icke bidrager till att hålla uppe trevnaden inom familjen. Men icke nog därmed, det kan också vara orsak till, att en familj kommer på obestånd eller råkar i allvarliga ekonomiska bekymmer.</w:t>
        <w:br/>
        <w:br/>
        <w:t xml:space="preserve">Det var icke längesedan ett i detta avseende upprörande fall refererades i pressen. Tvenne utvägar hade familjen att välja. Krävdes den på det belopp barnavårdsnämnden lagt ut för </w:t>
      </w:r>
      <w:r>
        <w:rPr>
          <w:b/>
        </w:rPr>
        <w:t>hustruns²</w:t>
      </w:r>
      <w:r>
        <w:rPr>
          <w:b w:val="0"/>
        </w:rPr>
        <w:t xml:space="preserve"> barn i föregående gifte, måste deras egna hem gå under klubban. Ville familjen undandraga sig denna konsekvens, måste man och </w:t>
      </w:r>
      <w:r>
        <w:rPr>
          <w:b/>
        </w:rPr>
        <w:t>hustru²</w:t>
      </w:r>
      <w:r>
        <w:rPr>
          <w:b w:val="0"/>
        </w:rPr>
        <w:t xml:space="preserve"> skiljas, så att mannen icke blev försörjningsskyldig för </w:t>
      </w:r>
      <w:r>
        <w:rPr>
          <w:b/>
        </w:rPr>
        <w:t>hustruns²</w:t>
      </w:r>
      <w:r>
        <w:rPr>
          <w:b w:val="0"/>
        </w:rPr>
        <w:t xml:space="preserve"> barn.</w:t>
        <w:br/>
        <w:br/>
        <w:t>I många fall är det nog så, att dessa avvita bestämmelser visserligen icke hindra hembildning men dock bidraga till, att många draga sig för att genom vigsel fullborda äktenskapet.</w:t>
        <w:br/>
        <w:br/>
        <w:t>I detta sammanhang ber jag, herr talman, att få säga, att man blev något</w:t>
        <w:br/>
        <w:br/>
        <w:t>” förvånad, då man läste utskottets yttrande, ty i detta talas endast om olägenheter av en ändring. Motionärerna äro fullt på det klara med, att det före-</w:t>
        <w:br/>
        <w:br/>
        <w:t>ligger svårigheter för ändring på detta område, men att taga ett så starkt intryck av fattigvårdsinspektörens mening, som utskottet här gjort, synes oss alldeles opåkallat. Vi hava många inom fattigvården, som verka inom styrelser och nämnder och som dagligen få reda ut en mängd svårigheter. Även de äga god sakkunskap i fattigvårdens angelägenheter. Deras meningar bör man icke heller gå förbi. Av dem är det ett icke ringa antal, som hava samma mening som motionärerna.</w:t>
        <w:br/>
        <w:br/>
        <w:t>Det förefaller mig även, som om fattigvårdsinspektören väl summariskt sammanfört konsulenternas meningar. Av det som kommit till synes av deras yttranden i den till utlåtandet fogade bilagan kan man näppeligen fälla samma omdöme som fattigvårdsinspektören. Av de åtta, som inlämnat yttranden, är det fem, som äro välvilligt stämda för ändring. Av dessa fem är det två, som i ena fallet intet ha att erinra mot den föreslagna lagändringen, och i det andra till alla delar instämma i motionens syfte. Till dessa yttranden har jag här ett från Stockholms stads sociala nämnders ombudsman, i vilket denne på det livligaste uttrycker sin sympati för motionens utredningskrav. Han säger bl. a., att de i motionen påvisade besvärligheterna i nuvarande bestämmelser om hemortsrättsförvärv vitsordas av erfarenheten. Ombudsmannen har även lämnat exempel härpå.</w:t>
        <w:br/>
        <w:br/>
        <w:t>Men, herr talman, jag skall icke upptaga tiden med att föredraga något av dessa. Jag skall icke heller ställa något yrkande, då man har all anledning förmoda, att såväl bestämmelserna rörande hemortsrättsförvärv som andra bestämmelser i vår fattigvårdslag snart måste komma upp till revidering.</w:t>
      </w:r>
    </w:p>
    <w:p>
      <w:pPr>
        <w:pStyle w:val="Heading2"/>
      </w:pPr>
      <w:r>
        <w:t>2. Arne Forssell (Lantmanna- och borgarepartiet inom andrakammaren, man)</w:t>
      </w:r>
    </w:p>
    <w:p>
      <w:r>
        <w:rPr>
          <w:b w:val="0"/>
        </w:rPr>
        <w:t>Herr talman, mina herrar! Den motion, som ligger till grund för statsutskottets förevarande utlåtande och som gäller anslag till understöd åt kommunala anstalter för yrkesundervisningen i riket, denna motion är väckt i nära sammanhang med en motion rörande den yrkespedagogiska centralanstalten, i vilken motion jag föreslagit denna centralanstalts indragning och denna centralanstalts funktioners överflyttande till yrkesskoleavdelningen.</w:t>
        <w:br/>
        <w:br/>
        <w:t>I fråga om sagda centralanstalt har statsutskottet i sak tillstyrkt vad Jag i den motionen yrkat, och jag är synnerligen tacksam för det välvilliga bemötande på denna punkt, som har kommit mig till del. Däremot har statsutskottet</w:t>
        <w:br/>
        <w:br/>
        <w:t>ställt sig avvisande i fråga om den nu föreliggande motionen, alltså i fråga om motionen rörande understöd åt de kommunala anstalterna i riket för yrkesundervisningen ute i landet.</w:t>
        <w:br/>
        <w:br/>
        <w:t>Dessa bägge motioner äro av mig väckta såsom följdmotioner, kan jag säga, till den motion, som jag tillät mig väcka förlidet år i samband med det då föreliggande förslaget till den stora skolreformen, och grundtanken för mig då liksom grundtanken för mig nu är den, att man borde sätta i gång en utredning med syfte att skapa en yrkesskoleorganisation, som vore kapabel att i sig taga upp och så mycket som möjligt absorbera den intelligenta och arbetsföra ungdomen, så att man sluppe den överbefolkning på de teoretiska studiebanorna, som man hör så mycket klagas över och över vilken man förvisso kan med rätta klaga. Jag ber att få understryka denna utgångspunkt, att mitt initiativ både våren 1927 och nu i vintras är förestavat, det kan jag försäkra, man må sedan tro vad man vill om mina försäkringar, av den bästa omtanke och bästa välvilja för landets ungdom, just för att rädda den från att komma in på banor, där de hägrande målen kanske allt för ofta är det »studerade» proletariatets dystra öde.</w:t>
        <w:br/>
        <w:br/>
        <w:t>Den motion, som nu här föreligger och som jag väckte i januari månad, tar sikte dels på en utredning just i detta syfte, som jag här nämnt, dels också på vissa åtgärder, som enligt mitt förmenande redan utan en sådan föregående utredning borde efter min tanke kunna företagas. Dessa åtgärder åsyfta att aäavägabringa en större reda, en större klarhet, en bättre översikt över statens skolpolitik på detta område, och förty tillät jag mig föreslå, att den klumpsumma, som nu enligt gammal flerårig hävd och även enligt den föreliggande kungl. propositionen utgår till de kommunala anstalterna för yrkesundervisning, skulle delas i två summor, så att man fick klart för sig, vad som gick till undervisningsmateriel å ena sidan det skulle då föras under särskild rubrik — och å andra sidan skulle man få klart för sig, vad som i övrigt fordras för denna yrkesundervisning. Det var då den ena tanken. Den andra tanken, som jag ställde upp i min motion var den, att man skulle göra klart för sig. att de för äldre arbetare avsedda yrkeskurser, som kommit till stånd med en väsentlig utvidgning, kan jag redan på detta stadium av mitt anförande säga, av 1918 års program, skulle taga sikte på en verklig och rationell yrkesutbildning. Och vidare tillät jag mig hemställa, att man skulle få en ekonomisering med de olika avdelningarna inom lärlingsskolorna, så att icke någon av dessa avdelningar bleve för liten och förty lärarekrafterna absorberades genom för små divisioner av dessa skolor. Slutligen tillät jag mig hemställa om en sådan omläggning av yrkesskolestatistiken, att det blev möjligt för den utanför stående betraktaren att få någon uppfattning om, huru dessa ganska betydande statsmedel bleve använda, huru dessa medel till yrkesundervisningen bleve utnyttjade. Jag kunde icke finna annat — jag har försökt bringa belägg för det i min motion — än att dessa yrkanden voro välgrundade. Nu har emellertid statsutskottet avstyrkt motionen både i den ena och den andra delen, både i stort och i smått, kan jag säga, både i fråga om den allmänna utredningen och i fråga om de åtgärder, som jag tillåtit mig ifrågasätta. Likvisst måste jag ändock säga vid ett närmare studium av de dokument, som statsutskottet bifogat detta sitt utlåtande, nämligen skolöverstyrelsens utlåtande över bägge motionerna, likvisst måste jag säga, att jag endast kan finna bekräftelse på riktigheten av mina utgångspunkter. Jag hade som sagt yrkat på en uppdelning av anslaget så att man skulle kunna se vad som gick till undervisningsmateriel och vad som i övrigt förbrukades av detta anslag, och jag tillät mig i min motion anföra exempel på, hurusom väsentliga belopp förbrukades på en del orter för undervisningsmateriel. Jag talade t. ex. om, huru det hade gått till i Västerås stads anstalter för yrkesundervisning, och jag trodde mig kunna med</w:t>
        <w:br/>
        <w:br/>
        <w:t>ledning av den statistik, som är publicerad i tidskrift för praktiska ungdomsskolor — jag ber att få påpeka, att det material, som ligger till grund för mina motioner, är fullt offentligt, det är år från år publicerat just i denna statsunderstödda tidskrift, så att jag har all anledning tro, att materialet t är tillförlitligt, Jag inflikar detta 1 parentes — nåväl, jag trodde mig 1 denna statistik kunna visa, att för Västerås stads anstalter för yrkesundervisning hade under tiden den 1 januari 1921 30 Juni 1927 av statsmedel utbetalats ej mindre än minst 40,665 kronor, och då ju såsom förutsättning för detta statsbidrag måste räknas utgåendet av minst motsvarande summa för kommunens del, så steg ju totalbeloppet högst avsevärt, alltså till c:a 80,000 kronor. Jag anförde i motionen liknande siffror även för staden Eskilstuna, och jag fann, att det var Ju ganska aktningsvärda summor, som på det sättet voro disponerade, summor, som blevo så mycket mera avsevärda, då man tänkte på de belopp, som beviljades övriga grenar av undervisningsväsendet.</w:t>
        <w:br/>
        <w:br/>
        <w:t>Nu svarar skolöverstyrelsen på denna anmärkning, att »vad särskilt angår de av motionärerna anmärkta understöden till anstalterna i Västerås och Eskilstuna» — precis de förhållanden jag nyss berört — »förhölle det sig så, att en del av den därför anskaffade materielen kommer till användning även i statens därvarande fackskolor, vilkas undervisningsmateriel eljest bekostas helt av statsmedel».</w:t>
        <w:br/>
        <w:br/>
        <w:t>Ja, jag vill påpeka, att jag här fått svart på vitt på precis vad jag misstänkte, nämligen att här under en rubrik i statsbudgeten gå ut medel, som komma att tillgodose ett syfte, som redan tillgodosetts under en annan rubrik i statsbudgeten, nämligen under anslag just till statens fackskolor. Jag vill erinra om, att vi under denna riksdag hava dryftat under åttonde huvudtiteln frågan om beviljande av, jag vill minnas något över 2,000 kronor sparmedel för inköp av undervisningsmateriel till fackskolan i Härnösand. Alltså å ena sidan måste man ställa till en stor apparat med kunglig proposition och statsutskottsbehandling för beviljande av ett dock ganska begränsat belopp sparmedel till undervisningsmateriel vid denna fackskola, medan man vid andra fackskolor bara tar av de belopp, som här ligga under de kommunala yrkesundervisningsanstalterna, och för över dem på dessa fackskolors undervisningsmateriel. Jag måste säga, att detta dock står i ganska uppenbar strid emot sedvanliga budgetmetoder och i påtaglig strid emot sedvanliga metoder att använda statsanslag. Redan detta erkännande, som skolöverstyrelsen ger, synes mig giva ett ganska kraftigt belägg på riktigheten av mitt krav, att större reda och överskådlighet behövs på detta område. Det kan Ju icke vara riktigt, att när man nu har en klumpsumma och det befinnes, att man kan sänka antalet lärareplatser, de då ledigblivna beloppen på detta sätt användas till andra syften, än som i budgetanslaget i fråga direkt angivas. Detta var alltså ett bevis, om jag så får säga, för riktigheten av min tes, att det behövs en större klarhet på detta område och att det behövs en uppdelning av denna klumpsumma i två olika huvudposter.</w:t>
        <w:br/>
        <w:br/>
        <w:t>Vad sedan beträffar mitt yrkande om bättre statistik på detta område, framgår det alldeles uppenbart av skolöverstyrelsens utlåtande, att skolöverstyrelsen själv är på det klara med, att den statistik, som den utarbetar, alltså den för allmänheten tillgängliga statistiken, är mycket bristfällig. Jag måste då säga, herr talman, att det i någon mån förvånat mig, att statsutskottet icke desto mindre, trots detta erkännande från skolöverstyrelsen, begagnat en tabell, som är utarbetad av skolöverstyrelsen och som skall bevisa, vilken utomordentlig omfattning yrkesskoleundervisningen har fått på 1918 års grundval. Det är Ju alldeles uppenbart, att man måste underkasta denna statistik en ganska ingående kritisk granskning för att man skall kunna ha någon praktisk nytta av den. Statistiken i fråga är intagen i statsutskottets förevarande utlåtande</w:t>
        <w:br/>
        <w:br/>
        <w:t>nr 89 på sidan 16. Till densamma vill jag för min del endast göra några randanmärkningar för att herrarna skola få klarhet över, vilka metoder man använder för att få fram denna statistik, metoder, som man måste ha insikt i för att till sitt rätta värde kunna reducera siffrorna i dessa tabeller.</w:t>
        <w:br/>
        <w:br/>
        <w:t xml:space="preserve">Jag ber då att få påpeka, att man där uppgiver ett visst antal elever. Men med den saken förhåller sig på följande sätt. Jag tar ett exempel. Om man tänker sig det, att en person samtidigt har gått igenom en yrkesskolekurs i, låt oss säga stenografi och en kurs i maskinskrivning och en kurs i engelska och en kurs i handelskorrespondens, då är ju denna person i en vanlig människas ögon att räkna såsom en elev i en handelskurs. Men i det spektrum, som utbreder sig för skolöverstyrelsens hänförda ögon, förvandlas denna person till icke mindre än fyra elever. På det viset är det naturligtvis i högsta grad möjligt att få upp en statistik, som visar de mest lysande siffror. Och jag skall ta ett annat exempel. Man tänker sig en ung </w:t>
      </w:r>
      <w:r>
        <w:rPr>
          <w:b/>
        </w:rPr>
        <w:t>dam²</w:t>
      </w:r>
      <w:r>
        <w:rPr>
          <w:b w:val="0"/>
        </w:rPr>
        <w:t xml:space="preserve">, som under en vecka tvenne gånger bevistar en demonstrationskurs i låt oss säga servettbrytning och sedan en följande vecka deltager i en kurs i tillagning av enklare lunchrätter, sålunda kursen nr 2, och sedan en följande månad deltar i en demonstrationskurs i tillagning av finare lunchrätter, sålunda kursen nr 3, så blir sagda unga </w:t>
      </w:r>
      <w:r>
        <w:rPr>
          <w:b/>
        </w:rPr>
        <w:t>dam²</w:t>
      </w:r>
      <w:r>
        <w:rPr>
          <w:b w:val="0"/>
        </w:rPr>
        <w:t xml:space="preserve"> förvandlad i en treenighet. Och ju flera kurser </w:t>
      </w:r>
      <w:r>
        <w:rPr>
          <w:b/>
        </w:rPr>
        <w:t>hon²</w:t>
      </w:r>
      <w:r>
        <w:rPr>
          <w:b w:val="0"/>
        </w:rPr>
        <w:t xml:space="preserve"> följer, desto flera blir </w:t>
      </w:r>
      <w:r>
        <w:rPr>
          <w:b/>
        </w:rPr>
        <w:t>hon²</w:t>
      </w:r>
      <w:r>
        <w:rPr>
          <w:b w:val="0"/>
        </w:rPr>
        <w:t>. Det blir en slags spontan självalstring, som äger rum. Med denna metod, herr talman och mina damer och herrar, är det sannerligen ingen konst att få fram en synnerligen förmånlig statistik. Jag menar det, att statsutskottet borde taga någon kännedom om de grundvalar, på vilka man bygger upp dessa statistiska företeelser. Och om statsutskottet hade gjort sig mödan att göra detta, tror jag verkligen, att statsutskottet, realistiskt betonat som ju detta riksdagens budgetutskott är, skulle gått med på mitt yrkande om någon revision av de statistiska metoderna i detta ämbetsverk. Men statsutskottet säger i alla fall nej till denna min blygsamma hemställan.</w:t>
        <w:br/>
        <w:br/>
        <w:t>Detta var om statistiken. Sedan har jag ju också, som jag tillät mig inledningsvis antyda, föreslagit en ekonomisering vid organiserandet av avdelningar 1 fråga om undervisningen vid dessa lärlingsskolor. Där har jag verkligen den glädjen konstatera, att skolöverstyrelsen ingenting principiellt har att invända emot mitt yrkande. Jag skall strax komma till skolöverstyrelsens allmänna hållning i det avseendet. Men skolöverstyrelsen säger, att den redan så utomordentligt väl har tillgodosett detta krav, att det icke är behövligt, att man gör någonting åt det. Jag skall då taga som exempel en av de bäst skötta skolorna i riket. Jag tar den redogörelse, som bifogats överstyrelsens skrivelse, rörande förhållandena i Halmstad. Av redogörelsen från skolorna i Halmstad hösten 1926 befinnes det, att första klassen av lärlingsskolan för metallarbetare hösten 1926 omfattade 7 lärjungar. I klass 2 på hösten 1927 kvarstodo enligt de siffror, som jag inhämtat där nere ifrån, 3 lärjungar. Alltså en mycket stark avgång från första klassen till den andra.</w:t>
        <w:br/>
        <w:br/>
        <w:t>Och dessa tre, de som nu undervisas — såvida de ännu äro kvar; det vet jag icke — äro alltså återstoden av de ursprungliga 7, såvida det som sagt är</w:t>
        <w:br/>
        <w:br/>
        <w:t>några alls. Och ser man på lärlingsskolan för minuthandlare, voro där på hösten 1926 21 lärjungar. Och i andra kursen, på hösten 1927, fanns det 7 lärjungar. Alltså ett våldsamt fall från 21 till 7, eller med 67 Z. Trots denna nedgång uppsattes likväl på hösten 1927 nya ettor, nya första kurser, där man fick i metallarbetarekursen 16 och i minuthandlarekursen 10 lärjungar. Nu menar jag, att det hade varit i högsta grad välbetänkt att vänta ett år med inrättande av nya ettor. På det viset hade man kunnat sammanföra och ekonomisera med såväl lärarkrafter som undervisningsmateriel. Jag har velat inför kammaren draga fram dessa förhållanden för att belysa, att de önskemål, som jag i dessa hänseenden tillåtit mig beröra i motionen, äro välgrun-</w:t>
        <w:br/>
        <w:br/>
        <w:t>dade nog, och att det förefaller mig, som om skolöverstyrelsen icke framdragit sådana motargument, att statsutskottets rent avstyrkande hållning till initiativet i motionen kan anses vara befogat.</w:t>
        <w:br/>
        <w:br/>
        <w:t>Slutligen, herr talman, vill jag påpeka en omständighet, som efter mitt förmenande är av ett visst intresse. Statsutskottet uttalar det, att motionären i främsta rummet synes »hava velat påvisa den bristande överensstämmelse, som enligt hans mening råder mellan storleken av de för ändamålet anvisade statsanslagen och de resultat, sagda anstalter hittills haft att uppvisa». Ja, herr talman, mina herrar, det är nog sant, att denna kontrast mellan å ena sidan förhoppningarna 1918 och det anslag, man för här berörda syften beviljat och resultatet å andra sidan spelat en ganska stor roll i min motion. Men detta argument är dock endast, om jag så får säga, en metod i min bevisföring. Tyngdpunkten ligger på ett helt annat håll. Och det skall Jag nu be att med några ord få belysa.</w:t>
        <w:br/>
        <w:br/>
        <w:t>Det är nämligen så, att 1918 förutsatte man, att det vid sidan av lärlingsoch yrkesskolor skulle finnas någonting, som kallades kurser för äldre arbetare. Men läser man igenom de utredningar, som utgöra förarbetena till 1918 års anordning, så befinnes det alldeles uppenbart, att dessa kurser för äldre arbetare uppfattades såsom någonting provisoriskt, någonting övergående, som man tänkt sig så småningom skulle försvinna. Och läser man t. ex. ett uttalande från 1922 av undervisningsrådet Berglund, så ställer sig denne alltjämt på 1918 års ståndpunkt just i fråga om dessa kurser för äldre arbetare. Men i det skolöverstyrelsens utlåtande, som föreligger nu från våren 1928, ser man, att dessa kurser för äldre arbetare spela en allt större roll i nu pågående yrkesskolundervisningspolitik. Här håller faktiskt i skymundan på att ske en fullständig omsvängning från utgångspunkterna 1918. Tyngdpunkten lägges alltmer över på dessa kurser för äldre arbetare. I själva verket skulle man kunna säga, att det här icke är fråga om ett nytt system, utan det är fråga om, huruvida man icke håller på att gå tillbaka till det system, som rådde före 1918, och som man då ansåg olyckligt och ville komma ifrån, nämligen systemet med de mera fria tekniska aftonskolorna. Nu menar jag, att det är nog allt skäl för riksdagen att hava ögonen på detta och ställa sig den frågan: vad vill riksdagen? Vilja vi en återgång från detta system, som riksdagen beslöt år 1918, eller vilja vi det icke? Nog är det i högsta grad påkallat, att riksdagen gör denna problemställning klar för sig och säger ifrån, vad riksdagen vill på denna punkt.</w:t>
        <w:br/>
        <w:br/>
        <w:t>Herr talman! Utskottet har, som sagt, avstyrkt min motion. Utskottet är enhälligt. Och jag har allenast med dessa ord velat antyda mina synpunkter på detta ämne och antyda de verkliga problem, som finnas i detta spörsmål, och som man sannerligen icke kommer ifrån genom statsutskottets — Jag måste ju erkänna det — i formuleringen rätt så välvilliga men i sak avvisande hållning. Jag tror, att en utredning i detta spörsmål icke kan låta sig avvisas i det långa loppet. Jag är övertygad om, att kritiken på detta fält är så välgrundad, att denna sak mycket snart på nytt måste tagas upp. Och Jag måste tillstå, att det är med verkligt beklagande man konstaterar den negativa, den avvisande, för att icke säga högdragna hållning, som skolöverstyrelsen finner passande att anlägga gent emot de i motionen framförda synpunkterna. Jag skall be att för er, mina herrar ledamöter i denna kammare, få läsa upp en punkt, slutspurten om jag så får säga, i skolöverstyrelsens utlåtande, genom vilken herrarna skola få ett intryck av den anda, som besjälar skolöverstyrelsen gent emot de personer inom kammaren, som djärvas att hava den oförsyntheten att våga framföra synpunkter i annan stil än den, som omfattas av den härskande skolbyråkratin. Skolöverstyrelsen diskuterar, vad en utredning väl skulle tjäna till, och så säger skolöverstyrelsen: »Det är möj-</w:t>
        <w:br/>
        <w:br/>
        <w:t>ligt, att en sådan utredning kunde bliva till gagn i så måtto, att de, som ställa sig oförstående till yrkesundervisningens krav, särskilt om de deltoge i utredningen, kunde vinna bättre insikt i fråga om yrkesundervisningens verkliga förhållanden, förutsättningar och behov.» Jag måste här till kammarens protokoll få antecknat, att jag finner det föga tillständigt, att ett ämbetsverk på detta insinuanta sätt yttrar sig om en motionär och hans motion, enkannerligen när de synpunkter och de fakta, som skolöverstyrelsen kunnat anföra, äro av den ytterligt svaga sakliga karaktär, som här i detta skolöverstyrelsens betänkande är fallet. Och jag är absolut övertygad om, att den nuvarande chefen för ecklesiastikdepartementet omöjligen kan med gillande se att ett honom underordnat ämbetsverk på detta insinuanta och otillbörliga sätt behagar utlåta sig om en motion och en motionär. Jag har den fasta förvissningen och den fasta förhoppningen.</w:t>
        <w:br/>
        <w:br/>
        <w:t>Herr talman! I sakens nuvarande läge har jag intet yrkande att göra. Den enda hemställan, jag har att göra, är, att när skolöverstyrelsen på detta sätt intagit en så oförstående och förbenad hållning, den högste målsmannen för undervisningsgrenen vid ;konungens rådsbord imåtte visa den en bättre väg att gå.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1780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