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587</w:t>
      </w:r>
    </w:p>
    <w:p>
      <w:r>
        <w:rPr>
          <w:b/>
        </w:rPr>
        <w:t xml:space="preserve">Datum: </w:t>
      </w:r>
      <w:r>
        <w:t>1929-03-02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Mauritz Hellberg (Liberala riksdagspartiet, man)</w:t>
      </w:r>
    </w:p>
    <w:p>
      <w:r>
        <w:rPr>
          <w:b w:val="0"/>
        </w:rPr>
        <w:t>Herr talman! I reservationen ha anförts de skäl, som enligt reservanternas mening borde ha föranlett utskottet att begära en skrivelse till Kungl. Maj:t om utredning av denna fråga i hela dess omfattning. I utskottets utlåtande anföras de skäl, som tala emot detta, och jag skall bara be att ett ögonblick få uppehålla mig vid dessa skäl.</w:t>
        <w:br/>
        <w:br/>
        <w:t>Det är egentligen i två punkter, som utskottet och reservanterna ha olika uppfattning. Den första punkten är av mer principiell natur: det är fråga om angelägenheten av att såvitt möjligt varje medborgare må kunna använda sin rösträtt. Detta finna reservanterna för sin del vara viktigt. Utskottet tar det, låt mig säga, ganska kallt och röjer egentligen inte något intresse för denna angelägenhet.</w:t>
        <w:br/>
        <w:br/>
        <w:t>Belysande för utskottets ståndpunkt är dess sätt att behandla den första motionens yrkande om rätt för studerande att få begagna valsedelsförsändelse. Där säger utskottet först och främst, att beträffande valen inom hemkommunen antar det, att de studerande i regel sakna intresse därför. Ja, det förefaller mig vara en mycket vansklig sak att avgöra, huruvida en grupp medborgare saknar intresse eller inte. Det gäller naturligtvis om alla grupper, att somliga inom dem äro intresserade och somliga mindre intresserade, men nog skulle jag vilja tillåta mig undra, om man inte kan antaga, att en rätt avsevärd del av de studerande äga intresse även för sådana frågor. Vi veta ju allesammans, att det bland studenterna finnes politiskt färgade sammanslutningar: där finns nationella ungdomsförbundet, vars medlemmar säkerligen äro ivrigare högermän än högerpartiets äldre medlemmar i regel äro, där finns sällskapet Laboremus bestående av socialdemokrater, där finns en annan sammanslutning, som heter Clarté och som visst står till vänster om detta. Alla de, som tillhöra dessa sammanslutningar, äro utomordentligt politiskt intresserade. Varför skulle de då inte vara intresserade vid val av representanter inom sina egna kommuner? Det kan jag inte alls förstå.</w:t>
        <w:br/>
        <w:br/>
        <w:t>Sedan tillåter sig utskottet säga, att något legitimt behov av rätt att rösta medelst valsedelsförsändelse kan endast anses föreligga beträffande valen till</w:t>
        <w:br/>
        <w:br/>
        <w:t>andra kammaren. Där erkänner sålunda utskottet, att det kan föreligga ett legitimt behov, men jag förvånar mig litet över att utskottsmajoriteten därmed vill insinuera, att behoven i andra fall skulle vara illegitima. Att i fråga om utövningen av rösträtten tala om illegitima behov av att underlätta denna utövning förefaller mig vara litet oförsiktigt. Jag tycker det är ett nästan vågat uttryck, om jag får säga min mening. Men när det kommer till kritan, tycks inte utskottet finna, att det just är något egentligt behov, som föreligger ens i fråga om andrakammarvalen, ty när vi komma litet längre ned i den del av utskottsutlåtandet, som rör denna sak, så talas det om att det finnes många studenter, som mantalsskriva sig i universitetsstäderna, att det finnes möjlighet för studenterna att utan större olägenhet uppskjuta sin avresa o. s. v.</w:t>
        <w:br/>
        <w:br/>
        <w:t>Jag skall inte vidare uppehålla mig vid dessa skäl. Dock må jag säga, att de förefalla mig litet ansträngda. Men för att sedan mera konkret klargöra sin ställning så lämnar utskottet en uppgift om särskilt Uppsalastudenternas antal överhuvud och antalet politiskt röstberättigade. Det visar sig därvidlag, att i alla fall mer än hälften av studenterna i Uppsala nått politisk rösträttsålder. Sedan subtraherar utskottet en hel del ifrån detta antal, som uppgår till 1,740: så uppges det, att en del äger rösträtt i Uppsala, bl. a. ett hundratal docenter, vidare anföres, att det finnes 556 studenter, som tillhöra Stockholms eller Upplands nationer och som alltså skulle kunna rösta i sina hemkommuner. Men även om man drar ifrån dessa, så återstå, såvitt jag kan finna, omkring 1.000 studenter, beträffande vilka utskottet inte kan anföra något egentligt hållbart skäl, varför de inte skulle kunna få använda valsedelsförsändelse. När man nu, som sagt, vet, hur starkt politiskt intresse det finns hos många studenter, så tycker jag, att detta faktum, att det enbart vid ett enda universitet finnes ungefär ett tusental studerande, som praktiskt taget äro förhindrade att utöva sin rösträtt, i själva verket blir ett ganska allvarligt argument mot den ståndpunkt, som utskottet intagit.</w:t>
        <w:br/>
        <w:br/>
        <w:t>Den andra punkten, i vilken utskottets och reservanternas åsikter skilja sig åt, rör ställningen till 1919 års utskottsutlåtande och riksdagsbeslut. Där visar utskottsmajoriteten för den ståndpunkt, som då intogs av utskottet och riksdagen, en vördnad, som reservanterna för sin del inte kunna hysa. Utskottet bemödar sig att motivera sin vördnad för denna ståndpunkt och anför då en hel del så att säga avskräckande konsekvenser, som skulle uppstå, därest man ginge ifrån samma ståndpunkt. En av dessa konsekvenser — det förefaller mig nästan litet komiskt, att den anföres — är den, som antydes, när utskottet säger, att »en rationell utsträckning av rätten med hänsyn till förfall på grund av yrke eller tjänst måste medföra ett beträdande utav den av Kungl. Maj:t år 1919 föreslagna men av riksdagen då avvisade vägen». D.v.s. vad en regering, som väl ändå får anses ha prövat frågan tämligen grundligt, föreslog då, det betecknas nu såsom något i hög grad betänkligt. Vidare säger utskottet, »att en mera vittgående utsträckning av rätten att rösta utan personlig inställelse måste antagas komma att allvarligt inkräkta på de nuvarande principerna för valskicket». Det låter ju nästan litet katastrofalt! Men när man nu betänker vad som framhållits i reservationen, nämligen att valsedelsförsändelser hittilldags förekommit i så ringa omfattning, att de inte utgöra mer än ?/s 2 av samtliga avgivna röster, då får man säga, att en liten utökning av detta antal — även om man tänker sig, att det fördubblades, så att det bleve '/, 2 av samtliga avgivna röster — knappast borde få några vådliga konsekvenser. Det vill verkligen fantasi till för att tro, att detta skulle kunna allvarligt inkräkta på de nuvarande principerna för valskicket.</w:t>
        <w:br/>
        <w:br/>
        <w:t>Sedan talar utskottet om en annan betänklig konsekvens. som skulle bestå däri, att valsedelsförsändelsesystemet skulle underlätta obehörig påtryckning. Utskottet tänker sig exempelvis säsongarbetare, samlade i en barack. Ja, men</w:t>
        <w:br/>
        <w:br/>
        <w:t>är inte detta att utsträcka sitt bekymmer litet långt i onödan? »Påtryckning», herregud, sådan kan ju förekomma under alla förhållanden, och det är väl inte så synnerligen stor skillnad, om på en plats samlade arbetare bo i sina respektive bostäder eller i barack. Nog kunna de utöva påtryckning på varandra i båda fallen, ungefär lika mycket eller lika litet.</w:t>
        <w:br/>
        <w:br/>
        <w:t>Så talas det om att konsekvensen rent av skulle kunna bli, att man finge tillbaka fullmaktsröstningen. Ja, men detta är väl ändå att måla spöken. Fullmaktsröstning ha vi en gång för alla här i landet insett vara fullkomligt olämplig ur alla synpunkter, ja, rent av demoraliserande, och vi betrakta det som en vinst, att vi en gång kommit ifrån den. Jag begriper då rakt inte, hur en utsträckning till några nya kategorier av rätten till valsedelsförsändelse skulle kunna tänkas medföra den konsekvensen, att vi skulle komma tillbaka till fullmaktsröstningen.</w:t>
        <w:br/>
        <w:br/>
        <w:t>Nå, jag skall inte längre uppehålla mig vid de där detaljanmärkningarna, utan jag skall anföra den passus, där utskottet liksom samlar sin stora belåtenhet med 1919 års ståndpunkt. Utskottet säger sig sålunda anse, »att de gällande grundprinciperna för valsedelsförsändelses användande icke böra frångås. Med denna utgångspunkt finner utskottet även den begränsning, gällande lag i detalj ger institutet, vara väl funnen. De yrkesoch tjänstegrupper, vilka i lagarna angivas, äro väl avgränsade och kännetecknas därav, att yrkesutövningen måste medföra ett permanent eller regelmässigt vistande utom valdistriktet, som i de flesta fall icke kan avbrytas för rösträttens utövande.» Detta är sålunda egentligen, såvitt jag kan se, det allra högsta betyg, som kan ges åt de nuvarande bestämmelserna. Men om man nu tänker sig dessa 1 praktiken och hur de verka där, så tror jag inte man just behöver söka efter fall, som kunna visa sig bli ganska egendomliga. Jag skall ta ett konkret exempel: Antag, att en järnvägsman och en montör sammanträffa kort före valet, och montören säger till järnvägstjänstemannen: »Nu skall bolaget skicka bort mig på valdagen för att jag skall sätta upp en maskin där och där. Nog är det hårt, att inte jag skall kunna lika väl som du få skicka in min valsedel då.» »Ja, det förstås», säger den andre järnvägsmannen, »men se jag tillhör en grupp, vars yrkesutövning medför ett permanent eller regelmässigt vistande utom valdistriktet. Det är en annan sak det.&gt; »Ja», säger montören, »men vid nästa val så är du kanske hemma.» »Ja, det är ju sant», säger järnvägsmannen, »det är jag. Då är jag hemma.» »Alltså», säger montören, »ett yrke, som permanent och regelmässigt medför vistande än borta och än hemma, det bör vara undantaget, men inte ett, som är av annan beskaffenhet, fastän resultatet blir precis detsamma.» Inte kunna väl herrarna begära, att montören skall känna sig vidare imponerad av denna s. k. »princip», som utskottet behagar kalla det.</w:t>
        <w:br/>
        <w:br/>
        <w:t xml:space="preserve">Nå, i alla fall har utskottet, som sagt, in aplissima forma här givit sin anslutning till ståndpunkten av år 1919 och markerat, att begränsningen är väl funnen och att grupperna äro väl avgränsade. Men när jag sedan läste fortsättningen av utskottets utlåtande, kom jag ofrivilligt att erinra mig ett yttrande av en ung </w:t>
      </w:r>
      <w:r>
        <w:rPr>
          <w:b/>
        </w:rPr>
        <w:t>flicka²</w:t>
      </w:r>
      <w:r>
        <w:rPr>
          <w:b w:val="0"/>
        </w:rPr>
        <w:t xml:space="preserve">, som föreföll mig mycket tilltalande — ja, jag menar yttrandet, fast </w:t>
      </w:r>
      <w:r>
        <w:rPr>
          <w:b/>
        </w:rPr>
        <w:t>flickan²</w:t>
      </w:r>
      <w:r>
        <w:rPr>
          <w:b w:val="0"/>
        </w:rPr>
        <w:t xml:space="preserve"> förresten också var det. </w:t>
      </w:r>
      <w:r>
        <w:rPr>
          <w:b/>
        </w:rPr>
        <w:t>Hon²</w:t>
      </w:r>
      <w:r>
        <w:rPr>
          <w:b w:val="0"/>
        </w:rPr>
        <w:t xml:space="preserve"> sade: »Varför skall man alltid vara konsekvent?» Det tycker jag var mycket förtjusande från </w:t>
      </w:r>
      <w:r>
        <w:rPr>
          <w:b/>
        </w:rPr>
        <w:t>hennes²</w:t>
      </w:r>
      <w:r>
        <w:rPr>
          <w:b w:val="0"/>
        </w:rPr>
        <w:t xml:space="preserve"> synpunkt, men det kan inte förefalla lika förtjusande, då det tillämpas i praktiken av ett riksdagens utskott. Läser man emellertid fortsättningen på utskottets utlåtande, heter det så här: »Utskottet vill visserligen icke förneka möjligheten av att ytterligare yrkesgrupper skulle kunna fylla här angivna kännetecken.» Sålunda, när den där utmärkta avgränsningen väl är funnen, så säger utskottet: »Det är visserligen sant, att sedan dessa äro avgränsade, så finnes det andra, som med samma rätt kunna göra anspråk på att få åt-</w:t>
        <w:br/>
        <w:br/>
        <w:t>njuta samma förmån.» — Ja, den argumenteringen förefaller onekligen från min synpunkt tilltalande, ty den utgör ett ganska gott skäl för det yrkande, som vi ville, att utskottet skulle ha framställt.</w:t>
        <w:br/>
        <w:br/>
        <w:t>Nu är det ju så, att när vi, som påyrkade en skrivelse i detta fall, inte blevo i majoritet i utskottet, så lära vi inte ha rätt att begära proposition på vårt yrkande; hade vi åter fått majoritet, så hade vi haft rätt att göra det — det är nu en av dessa långtgående formella begränsningar, som riksdagen lider under. Jag har därför inte möjlighet att framställa något yrkande, men jag vill säga, att nog tycker jag, att nyssanförda stycke i utskottets motivering och reservanternas motivering sammanlagt ge ganska goda skäl, varför vid en kommande riksdag ett yrkande, sådant som reservanterna ansågo, att utskottet borde ha framställt, bör framställas.</w:t>
      </w:r>
    </w:p>
    <w:p>
      <w:pPr>
        <w:pStyle w:val="Heading2"/>
      </w:pPr>
      <w:r>
        <w:t>2. Knut von Geijer (–, man)</w:t>
      </w:r>
    </w:p>
    <w:p>
      <w:r>
        <w:rPr>
          <w:b w:val="0"/>
        </w:rPr>
        <w:t>Herr talman! Visserligen slutade den siste ärade talaren med att han på grund av vissa grundlagsstadganden inte kunde här framställa något yrkande. Han gick emellertid in på en ganska grundlig kritik av utskottets utlåtande, och må det då vara mig tillåtet att säga några ord till försvar för utskottet. Det föreföll mig emellertid, att han icke anförde något särskilt till försvar för egen motion, om det nu inte skulle anses ligga ett försvar därför 1 kritiken av utskottsförslaget.</w:t>
        <w:br/>
        <w:br/>
        <w:t xml:space="preserve">Jag skall bara bringa i erinran några få synpunkter, vilka legat bakom hela den lag, som nu gäller. Som herrarna erinra sig, var det före år 1921, då lagen trädde i kraft, en alldeles orubbad regel, att personlig inställelse vid riksdagsmannaval var nödvändig. Annorlunda var förhållandet beträffande de kommunala valen. I sammanhang med de stora rösträttsreformer, som genomfördes 1919 och 1921, och framför allt därför att </w:t>
      </w:r>
      <w:r>
        <w:rPr>
          <w:b/>
        </w:rPr>
        <w:t>kvinnor¹</w:t>
      </w:r>
      <w:r>
        <w:rPr>
          <w:b w:val="0"/>
        </w:rPr>
        <w:t xml:space="preserve"> tillerkändes rösträtt, kom tanken upp, att det i vissa fall ändå kunde leda till hårda och ganska orimliga konsekvenser, om man inte beredde tillfälle för personer att utan personlig inställelse avge sina röstsedlar. Det skäl, som då närmast föranledde detta, var hänsynen till äkta makar. Dessförinnan var som sagt personlig inställelse nödvändig.</w:t>
        <w:br/>
        <w:br/>
        <w:t>Det är riktigt, vad den ärade talaren anförde, att Kungl. Maj:t då hade ett annat förslag än det, som blev antaget av riksdagen. Kungl. Maj:t hade tagit det något mera vidsträckt och föreslagit, att rätt till röstning medelst s. k. valsedelsförsändelse skulle tillerkännas alla, som på grund av yrke eller tjänst vore förhindrade att personligen deltaga i valet. Det särskilda utskott, som behandlade frågan, fann detta väl vidsträckt, men det var icke endast av de skäl, som jag tyckte skymta fram i den ärade talarens anförande, utan givetvis också åtminstone står det klart för mig, att det borde ha varit så — på grund av känslan, att här måste man fara försiktigt fram och icke tillerkänna denna rätt i vidsträcktare mån än nödvändigt, då konsekvenserna skulle kunna bli rätt så betänkliga. Då inskrevs i lagen på särskilda utskottets framställning just det stadgande, som herr Hellberg berört, enligt vilket rätt till valsedelsförsändelse icke skulle tillkomma var och en, som på grund av yrke eller tjänst vore förhindrad att deltaga i val, utan allenast dem, som till följd av permanent eller regelmässig bortovaro från hemorten på grund av yrkesutövning icke kunde personligen avlämna sina röstsedlar. Det är dessa bestämmelser, som infördes i lagen år 1919, som utskottet finner vara väl avvägda, och däri ger jag utskottet rätt. Att herr Hellberg tyckes ha en motsatt mening är en annan sak. Det är en subjektiv uppfattning hos honom, liksom den meningen, att bestämmelserna äro väl avvägda — ett uttryck, som har använts flera gånger förut under senare tid, då förslag om utvidgning av rätten att använda valsedelsförsändelse varit uppe. Om den saken får var</w:t>
        <w:br/>
        <w:br/>
        <w:t>och en tycka, vad han vill, men jag för min del anser, att det är ett ganska lämpligt uttryck.</w:t>
        <w:br/>
        <w:br/>
        <w:t>Herr Hellberg framhöll, att utskottet här och där hade varit inkonsekvent, och därav gjorde han ett rätt stort nummer. Gent emot detta vill jag säga, att herr Hellberg icke tyckes vara rädd för konsekvenserna av sin ståndpunkt, men det är just dessa konsekvenser, som gör mig betänksam. Om vi nu utsträcka rätten att använda valsedelsförsändelse till dem, som på grund av yrke eller tjänst äro förhindrade att personligen utöva sin rösträtt, skulle det näppeligen kunna undgås, att man måste giva samma rätt åt många andra grupper än de som nu åtnjuta rätten, exempelvis handelsresande, reseinspektörer, montörer och säsongarbetare av olika slag. Detta vore första steget. Och sedan dessa grupper tillerkänts den ifrågavarande rätten, torde det bliva mycket svårt att med utsikt till framgång kunna säga nej till ett yrkande, som i viss mån redan framkommit, att sjuka, lytta och ålderdomssvaga ävensom avlägset boende och sådana, vilka på grund av avspärrning icke kunna infinna sig, skulle erhålla samma rätt. Förslag till förmån för dessa kategorier valmän hava redan gjorts inom riksdagen.</w:t>
        <w:br/>
        <w:br/>
        <w:t>Nå, ha nu dessa grupper blivit tillerkända den ifrågavarande rätten, är det väl ett kort steg, menar jag, till nästa etapp, laga förfall. Vid laga förfall såsom grund för rätten att använda valsedelsförsändelse, blir det mycket svårt, det vill jag framhålla, för en valförrättare att kunna avgöra, när laga förfall föreligger; bevisningen blir svår. Det blir en diskretionär prövning och en osäkerhet i prövningen, som förefaller mig innebära ganska betänkliga konsekvenser. Jag vill erinra om att det är nödvändigt, att valsedelsförsändelser avgivas någon tid före valet — de kunna icke avgivas precis samma dag, som valet förrättas — och då är det svårt att avgöra, om laga förfall föreligger valdagen. Det skulle bliva en osäkerhet i valförrättningen — vårt valsystem är ju utomordentligt känsligt — ett verkligt osäkerhetsmoment, om vi i lagen skulle få in en bestämmelse om rätt att använda valsedelsförsändelse vid laga förfall. Nästa steg bleve då, för att komma ifrån dessa svårigheter, röstning genom fullmakt. Om den sade visserligen herr Hellberg med emfas, såsom jag tyckte, att den en gång för alla förklarats demoraliserande och olämplig. Ja, jag kan icke se annat än att vi, om ej försiktighet iakttages, lätt tvingas in på en väg, som skulle öppna dörren för fullmaktsröstning.</w:t>
        <w:br/>
        <w:br/>
        <w:t>Herr Hellberg sade vidare, att det var en grundväsentlig skillnad mellan reservanternas och utskottsmajoritetens uppfattning om rätten att överhuvud taget deltaga i valen. Tillika sade han, att utskottsmajoriteten visat märkvärdigt litet intresse för valmännen vid avgörandet av detta ärende. Jag kan icke finna, att utskottsmajoriteten visat bristande intresse, men det kan icke hjälpas, att, när olämpliga konsekvenser skulle följa av en utvidgning av rätten, somliga personer bli berövade en rätt. En begränsning är nödvändig, om icke olämpliga konsekvenser skola uppkomma. Att därför misstänkliggöra utskottet och säga, att utskottet saknar intresse för valmännen, förefaller mig vara oriktigt.</w:t>
        <w:br/>
        <w:br/>
        <w:t>Jag glömde, herr talman, att giva belägg för min mening om risken av de konsekvenser, jag nämnde. Då herrar reservanter säga, att ingen utan tvingande skäl bör förvägras att utöva sin rösträtt, så måste jag säga, att detta kommer bra nära röstning med fullmakt. Detta är väl ändå att gå för långt. Jag tycker mig i dessa ord skymta röstning på grund av fullmakt.</w:t>
        <w:br/>
        <w:br/>
        <w:t>Herr Hellberg framdrog ett exempel på en Järnvägstjänsteman, som i ett visst fall skulle få rätt att rösta medelst valsedelsförsändelse, under det att en annan person i ungefär samma ställning icke skulle få det. Ja, detta visar, huru utomordentligt svårt det är. Den begränsning, som finnes i lagen, har en principiell utgångspunkt, som herr Hellberg, om icke i dag så vid annat tillfälle,</w:t>
        <w:br/>
        <w:br/>
        <w:t>karakteriserat som fullständigt principlös. Brytandet mot en verkligt principiell hållning skedde när bestämmelsen om den personliga inställelsen uppmjukades, men principlöst kan det väl ej sägas vara att vilja begränsa undantagen så mycket som möjligt.</w:t>
        <w:br/>
        <w:br/>
        <w:t>Sedan gick herr Hellberg in på en kritik av eller rättare sagt, han började med en kritik av vad utskottet sagt angående studerande och dylika. Då herr Hellberg icke yrkat bifall till motionen, trodde jag icke, att den omständigheten skulle väga så tungt för honom. Jag kan icke se annat än att det är viktigt, då man skall överväga, huruvida behov av en lagändring föreligger eller icke, att undersöka sakförhållandet, och det är vid en dylik undersökning, som utskottet kommit till det resultat, att olägenheterna äro relativt mindre för dem än andra väljargrupper, om de äro politiskt intresserade. Jag erinrar om — det nämnde icke herr Hellberg — att mantalsskrivningsförordningen tillerkänner studerande rätt att låta mantalsskriva sig å ort, där de idka studier. Beträffande den kommunala rösträtten kunna olika synpunkter framhållas och delade meningar råda. Men studerande vid universiteten i en ålder från 23 kanske upp till 27 år ha varit borta länge från sina hemorter, och någon överdrift, synes det mig, ligger ej i påståendet, att deras intresse för de rent kommunala angelägenheterna i hemorten torde vara synnerligen svagt. Under alla förhållanden vill jag erinra om, att föreläsningarna under höstterminen börja så sent, att de studerande ha tillfälle att stanna kvar i hemortskommunerna över valen.</w:t>
        <w:br/>
        <w:br/>
        <w:t>Ja, herr talman, då intet yrkande föreligger, anser jag, att det icke är behövligt att framhålla mer än de synpunkter, som för mig själv varit avgörande, när jag givit min röst för utskottsmajoritetens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587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