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1816</w:t>
      </w:r>
    </w:p>
    <w:p>
      <w:r>
        <w:rPr>
          <w:b/>
        </w:rPr>
        <w:t xml:space="preserve">Datum: </w:t>
      </w:r>
      <w:r>
        <w:t>1929-04-13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Nilsson (Lantmanna- och borgarepartiet inom andrakammaren, man)</w:t>
      </w:r>
    </w:p>
    <w:p>
      <w:r>
        <w:rPr>
          <w:b w:val="0"/>
        </w:rPr>
        <w:t>Herr talman! Det är, efter det anförande, som hållits från statsrådsbänken, närmast en överloppsgärning att yttra sig vidare i denna sak till förmån för utskottets ståndpunkt. Herr statsrådet beklagade visserligen att statsutskottet nedprutat anslaget med 10,000 kronor. Utskottet har emellertid kommit till den uppfattningen att därest riksdagen beviljar det anslag, som vi förorda, skall full täckning av det föreliggande be-</w:t>
        <w:br/>
        <w:br/>
        <w:t>hovet vinnas. Herr statsrådet ansåg också själv, så vitt jag uppfattade honom rätt, att det icke nu vore möjligt att få kammaren att ansluta sig till Kungl. Maj:ts förslag. Det lider intet tvivel att statsrådet har riktigt uppfattat situationen. Därför förvånar det mig verkligen, att den erfarne ledamoten av utskottet, dess vice ordförande, påyrkar en lönereglering i enlighet med Kungl. Maj:ts förslag. Hade herr Rydén, som framställde samma yrkande i utskottet, velat bereda framgång för en sådan utväg, förefaller det mig, som om det naturligaste skulle ha varit att han yrkat återremiss till avdelningen med anmodan att granska den ifrågasatta lönestaten. Ett sådant yrkande har emellertid icke gjorts. Och att nu hemställa om bifall till Kungl. Maj:ts förslag förutsätter Ju, att kammaren skulle så att säga in blanco antaga en lönestat utan att dessförinnan hava underkastat densamma någon granskning. Ett sådant tillvägagående vill väl utskottets vice ordförande ändå icke vara med om.</w:t>
        <w:br/>
        <w:br/>
        <w:t xml:space="preserve">Jag vill fästa kammarens uppmärksamhet allenast på en punkt i den framlagda lönestaten, därför att den visar, huru det skulle ställa sig om riksdagen bifölle densamma. Jag erinrar endast om den ifrågasatta löneställningen för de </w:t>
      </w:r>
      <w:r>
        <w:rPr>
          <w:b/>
        </w:rPr>
        <w:t>kvinnliga¹</w:t>
      </w:r>
      <w:r>
        <w:rPr>
          <w:b w:val="0"/>
        </w:rPr>
        <w:t xml:space="preserve"> amanuenserna vid nordiska museet. De skulle uppflyttas från lönegraden B 7 till lönegraden B 11, vilket innebär en uppflyttning av 4 lönegrader. Att detta skulle leda till vittgående konsekvenser på andra motsvararde områden, är uppenbart. Vore det så, att riksdagen skulle gå in för en ny lönestat enligt Kungl. Maj:ts förslag är det klart, att den måste dessförinnan underkastas en noggrann prövning, så att riksdagen icke råkar fast för de konsekvenser, som ett godkännande av lönestaten oförändrad kunde föra med sig. Av detta förhållande framgår klarligen, att det icke kan finnas några utsikter för att här få igenom Kungl. Maj:ts av utskottet alldeles oprövade förslag. Jag tror att med det jag anfört är tillräckligt visat, att det skulle vara minst sagt oförsiktigt, om kammaren nu skulle tänka sig att frångå utskottets förslag. Herr Rydén har också blivit ensam i utskottet; visserligen har vice ordföranden här nu deklarerat, att han står på samma ståndpunkt, men utskottet har eljest varit enhälligt. Jag hemställer om bifall till utskottets förslag.</w:t>
      </w:r>
    </w:p>
    <w:p>
      <w:pPr>
        <w:pStyle w:val="Heading2"/>
      </w:pPr>
      <w:r>
        <w:t>2. Anders Råstock (Socialdemokraterna, man)</w:t>
      </w:r>
    </w:p>
    <w:p>
      <w:r>
        <w:rPr>
          <w:b w:val="0"/>
        </w:rPr>
        <w:t xml:space="preserve">Herr talman! Jag vill endast konstatera, att om så fridsamma toner avhörts förut från herr Bengtssons i Norup och herr andre vice talmannens sida, hade det nog funnits möjlighet att i utskottet ordna saken på ett för alla tillfredsställande sätt. Det sista exempel, som herr andre vice talmannen framdrog, nämligen om de </w:t>
      </w:r>
      <w:r>
        <w:rPr>
          <w:b/>
        </w:rPr>
        <w:t>kvinnliga¹</w:t>
      </w:r>
      <w:r>
        <w:rPr>
          <w:b w:val="0"/>
        </w:rPr>
        <w:t xml:space="preserve"> amanuenserna, håller icke streck. Jag skall icke närmare ingå på denna sak, men det meddelades dock i utskottet, att amanuenserna icke alls äro jämförbara med amanuenserna i vanliga ämbetsverk. Jag har endast velat anmärka detta till dagens protokoll.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