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594</w:t>
      </w:r>
    </w:p>
    <w:p>
      <w:r>
        <w:rPr>
          <w:b/>
        </w:rPr>
        <w:t xml:space="preserve">Datum: </w:t>
      </w:r>
      <w:r>
        <w:t>1929-04-24</w:t>
      </w:r>
    </w:p>
    <w:p>
      <w:r>
        <w:rPr>
          <w:b/>
        </w:rPr>
        <w:t xml:space="preserve">Kammare: </w:t>
      </w:r>
      <w:r>
        <w:t>Första kammaren</w:t>
      </w:r>
    </w:p>
    <w:p>
      <w:r>
        <w:rPr>
          <w:b/>
        </w:rPr>
        <w:t xml:space="preserve">Antal yttranden: </w:t>
      </w:r>
      <w:r>
        <w:t>5</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Värner Ryden (Socialdemokraterna, man)</w:t>
      </w:r>
    </w:p>
    <w:p>
      <w:r>
        <w:rPr>
          <w:b w:val="0"/>
        </w:rPr>
        <w:t>Herr talman! Jag måste säga, att den av herr Dahl lämnade redogörelsen om denna propositions och detta utskottsutlåtandes innebörd var till den grad ensidig, att jag ansett mig skyldig att försöka klara saken så gott jag förmår, inte ensidigt utan så som den enligt min uppfattning verkligen ligger till.</w:t>
        <w:br/>
        <w:br/>
        <w:t>Förhållandet är ju det, att ända från slutet av 80-talet och fram emot våra dagar har det varit ständig brist på lärare vid folkskolorna. Denna brist har understundom varit så stor, att den stundom gått upp till flera tusen. Då ha skolråden varit tvungna att gå in för att man använder småskollärarinnor på sådana tjänster, där skolstadgan normalt föreskriver, att det borde vara folkskollärare. Det är då i huvudsak två sätt, på vilka man ordnat saken. Antingen har man anställt en biträdande lärare vid folkskolan, och denne har då fått undervisa på mellanstadiet. Man har haft en småskollärarinna 1 första och andra klasserna, och så har det varit en småskollärarinna, i regel den bästa i skolroten, i tredje och fjärde klasserna, det vill säga på mellanstadiet, och till slut har det varit en folkskollärare eller en folkskollärarinna i femte och</w:t>
        <w:br/>
        <w:br/>
        <w:t>sjätte klasserna. Denna typ av lärare, som sålunda kallas för biträdande lärare, har under lärarbristens tid kommit att gå upp till ett mycket stort antal, och på många håll har detta ansetts innebära en tämligen tillfredsställande anordning. Det erfor jag inte minst under mina år i Skåne, där detta system icke sällan förekommit i lantsocknarna. Detta är den cna gruppen av de på folkskolestadiet tjänstgörande småskollärarinnorna. Den andra gruppen innefattar lärare vid mindre folkskolor. Det är sådana, som kommit att tjänstgöra under lärarbristens tid och som haft att undervisa på hela folkskolestadiet från småskolan och hela vägen upp, men som endast haft småskollärarinnekompetens. Nu ha givetvis de, som anställts på 90-talet, och även de, som anställts i början av århundradet, kommit att nå en rätt hög ålder, och många ha också avgått med pension redan på grund av de bestämmelser, som varit. Men så antogo 1917 riksdagens båda kamrar en skrivelse med direktiv till regeringen att försöka inskränka halvtidsläsningen och att få fullt utexaminerade lärarkrafter på skolans alla stadier. I och med det att man då förändrade den ena efter den andra av folkskolorna till verkliga folkskolor med riktigt utbildade lärarkrafter, så uppstår emellertid frågan: vad skall man göra av de lärare, som varit anställda i dessa mindre folkskolor? Och likaså där man i överensstämmelse med dessa uttalanden vill ha en folkskollärare på mellanstadiet i en sådan skola, som jag nyss skildrade, uppstår frågan: vad skall man göra av dessa biträdande lärare?</w:t>
        <w:br/>
        <w:br/>
        <w:t xml:space="preserve">Herr Petersson i Lerbäcksbyn väckte motion i denna fråga i andra kammaren, och denna hans framställning ledde till beslut om skrivelse av riksdagen. Kungl. Maj:t har nu utrett saken och därvid gått på den linjen, att så snart det finns en plats ledig, eller kan förväntas omedelbart bli en plats ledig i ett skoldistrikt, skulle den biträdande läraren eller läraren vid mindre folkskola, som kommer att förlora sin plats genom omorganisationen, utan vidare kunna få en annan plats, som är ledig inom skoldistriktet. Men så möta vi de fall. då vid en indragning eller omorganisation ingen ledig småskollärarinnetjänst fivnes i skoldistriktet, och det är fallet med särskilt den typ av skolor, som är vanlig i de små socknarna i Skåne. Hur skall man där göra, då man önskar utbyta exempelvis en biträdande lärare mot en folkskollärare? Jag har under årens lopp samlat några konkreta fall, som visa, hur det kan gå till. Jag har antecknat ofantligt många, men jag har här endast velat anföra sådana. där vederbörande inspektör står bakom de uppgifter, jag lämnar, och jag skall därför icke taga alltför många. Jag skall nämna ett fall, som visar, hur det kan gå. Vid Hasslarps skola i Kattarps församling i Malmöhus län entledigades 1927 en </w:t>
      </w:r>
      <w:r>
        <w:rPr>
          <w:b/>
        </w:rPr>
        <w:t>lärarinna³</w:t>
      </w:r>
      <w:r>
        <w:rPr>
          <w:b w:val="0"/>
        </w:rPr>
        <w:t xml:space="preserve">, som var född 1872 och som sålunda var 55 år gammal. Man entledigade </w:t>
      </w:r>
      <w:r>
        <w:rPr>
          <w:b/>
        </w:rPr>
        <w:t>henne²</w:t>
      </w:r>
      <w:r>
        <w:rPr>
          <w:b w:val="0"/>
        </w:rPr>
        <w:t xml:space="preserve"> och tillsatte en folkskollärarinna i stället. Var skall man göra av den biträdande </w:t>
      </w:r>
      <w:r>
        <w:rPr>
          <w:b/>
        </w:rPr>
        <w:t>lärarinnan³</w:t>
      </w:r>
      <w:r>
        <w:rPr>
          <w:b w:val="0"/>
        </w:rPr>
        <w:t xml:space="preserve">? </w:t>
      </w:r>
      <w:r>
        <w:rPr>
          <w:b/>
        </w:rPr>
        <w:t>Hon²</w:t>
      </w:r>
      <w:r>
        <w:rPr>
          <w:b w:val="0"/>
        </w:rPr>
        <w:t xml:space="preserve"> får ingen pension. I detta fall är det i viss mån upprörande, därför att det fanns en plats inom skoldistriktet, men man lyckades genomdriva, att </w:t>
      </w:r>
      <w:r>
        <w:rPr>
          <w:b/>
        </w:rPr>
        <w:t>hon²</w:t>
      </w:r>
      <w:r>
        <w:rPr>
          <w:b w:val="0"/>
        </w:rPr>
        <w:t xml:space="preserve"> icke fick den. En människa, som tjänstgjort på detta sätt till 53 års ålder och har tre år kvar till pensionsåldern, kastas alltså utan vidare undan med de bestämmelser. som här finnas! Jag kan nämna ett annat fall, aktuellt i dessa dagar, från Hallaryds församling 1 Sunnerbo härad av Kronobergs län. I denna församling är det nu fråga om att genomdriva förändring i organisationen av två folkskolor, den ena vid Torsholm och den andra vid Sjuhult. </w:t>
      </w:r>
      <w:r>
        <w:rPr>
          <w:b/>
        </w:rPr>
        <w:t>Lärarinnan³</w:t>
      </w:r>
      <w:r>
        <w:rPr>
          <w:b w:val="0"/>
        </w:rPr>
        <w:t xml:space="preserve"> vid den första av dessa skolor är född 1879 och fyller sålunda i år 50 år. Den andra </w:t>
      </w:r>
      <w:r>
        <w:rPr>
          <w:b/>
        </w:rPr>
        <w:t>lärarinnan³</w:t>
      </w:r>
      <w:r>
        <w:rPr>
          <w:b w:val="0"/>
        </w:rPr>
        <w:t xml:space="preserve">, vid skolan i Sjuhult, är född 1876 och blir sålunda i år 53 år gammal. Nu ha myndigheterna beslutat att från och med den 31 december i år skola dessa </w:t>
      </w:r>
      <w:r>
        <w:rPr>
          <w:b/>
        </w:rPr>
        <w:t>lärarinnor³</w:t>
      </w:r>
      <w:r>
        <w:rPr>
          <w:b w:val="0"/>
        </w:rPr>
        <w:t xml:space="preserve"> avskedas och ersättas med folkskollärare. Även i detta fall skulle </w:t>
      </w:r>
      <w:r>
        <w:rPr>
          <w:b/>
        </w:rPr>
        <w:t>lärarinnorna³</w:t>
      </w:r>
      <w:r>
        <w:rPr>
          <w:b w:val="0"/>
        </w:rPr>
        <w:t xml:space="preserve"> inte ha rätt till pension. Om jag tänker på herr Dahls ställning i skolutskottet, när vi där hade att behandla frågan om privatlärarinnorna, så</w:t>
        <w:br/>
        <w:br/>
        <w:t>gick han dock in för ett förslag, att alla privatlärarinnor, som komme att förlora sina sysselsättningar på grund av omorganisationen och tjänstgjort fem år, skulle få statshjälp, om jag minns rätt uppgående till två tredjedelar eller tre fjärdedelar av den lön de åtnjutit. Men här har man icke någon medkänsla, utan ut på backen med dem, till fattigvården med dem, ty dit komma de!</w:t>
        <w:br/>
        <w:br/>
        <w:t>Jag skulle kunna fullständiga detta med en hel rad exempel från den förteckning, som jag skaffat mig. Jag har här 18 fall, men jag skulle kunna skaffa mycket flera, om jag velat lägga an på detta. Det är några fall, som jag antecknat från mina egna förbindelser med lärarvärlden. Men dessa nu anförda fall äro väl tillräckliga för att visa, att det nog kan finnas fog för den ståndpunkt, som Västerås domkapitel intog, då det yttrade sig i denna sak, och det är den, jag och mina medmotionärer nu upptagit. Domkapitlet i fråga yttrade, att om vid omorganisation anställning icke kan beredas vederbörande lärare inom skoldistriktet, borde avgörandet av frågan inte få ske, med mindre än att den underställes skolöverstyrelsens, eventuellt domkapitlets särskilda prövning. Detta har sedan en mängd inspektörer och andra domkapitel instämt i, och det har tagits upp i motionen.</w:t>
        <w:br/>
        <w:br/>
        <w:t xml:space="preserve">Nu har utskottet lagt prövningen i första hand hos domkapitlet. Jag frågar nu, om icke det är att vända saken på ett sätt, som inte har med verkligheten att göra, när man vill ge den föreställningen, att lärarna skulle få något slags veto mot en ifrågasatt omorganisation. Då det kommer ett sådant här fall före. är det ju meningen att skoldistriktet skall få lov att underställa saken domkapitlets prövning. Tror någon människa då, att domkapitlet förvägrar skoldistriktet eller skolrådet att genomföra denna omorganisation, om det gäller ett såvera folk med tjänstgöring endast under två år? Men där fara föreligger, där man kan säga, att det är särskilt upprörande att kasta människor på det sättet på bar backe — i sådana fall alltså, som jag relaterade från församlingen i Sunnerbo härad — så om de få vänta några år till med denna omorganisation, är sannolikt icke så stor olycka skedd jämfört med om de kasta </w:t>
      </w:r>
      <w:r>
        <w:rPr>
          <w:b/>
        </w:rPr>
        <w:t>lärarinnan³</w:t>
      </w:r>
      <w:r>
        <w:rPr>
          <w:b w:val="0"/>
        </w:rPr>
        <w:t xml:space="preserve"> fullständigt på gatan. Jag kan inte säga, att det är rätt, att man kommer med detta hårda och kalla resonemang, då det gäller de kommunalt anställda småskollärarinnorna. Då det gällde privatlärarinnorna, voro alla ense om, att där borde staten gripa in, där skulle man inte låta </w:t>
      </w:r>
      <w:r>
        <w:rPr>
          <w:b/>
        </w:rPr>
        <w:t>lärarinnorna³</w:t>
      </w:r>
      <w:r>
        <w:rPr>
          <w:b w:val="0"/>
        </w:rPr>
        <w:t xml:space="preserve"> lida för omorganisationen. Till och med då det gällt militärväsendet, så var det inte bara de fast anställda, som fingo sin övergångsstat och så vidare, utan till och med de, som varit värvade endast för kort tid, fingo avskedsersättning. Men här, då det gäller en småskollärarinna — mången gång en trotjänare i svåra skoldistrikt, det händer inte så sällan — har man inte något sinne för att visa humanitet mot dessa. Jag kan inte finna detta vara rimligt.</w:t>
        <w:br/>
        <w:br/>
        <w:t>Nu försökte herr Dahl framställa saken på det sättet, att de där två åren i verkligheten skulle innebära, att den, som varit i tjänst i två år, inte skulle kunna entledigas. Nu är det i verkligheten så, att här ha inte på de sista tio åren, skulle jag våga tro, anställts några nya krafter på detta område, det vill säga sedan riksdagen gjorde sitt uttalande, annat än rent undantagsvis. Den lärarstock, som finnes, har först och främst därför, att det är under 10 år, som arbetet på dessa förändringar pågått, nu kommit upp i högre åldersläge än förut. Med de två åren är det på det sättet, att det är själva den grundbestämmelse, som finns beträffande småskollärarinnornas ordinarieblivande i den egentliga småskolan. Det är inte lätt — i varje fall tilltror jag mig icke att kunna göra det — att taga någon annan utgångspunkt än den, som gäller för dem, som äro ordinarie. Jag kan inte se, att det finns någon annan objektivt laglig grund att bygga på än den, som gäller såsom konstituerande för hela ordinarieblivandet i fråga om småskollärarinnor. Detta vill jag hava sagt till kammarens protokoll, så att det icke skall kunna uppfattas som någon</w:t>
        <w:br/>
        <w:br/>
        <w:t xml:space="preserve">uppfinning av motionärerna 1 varje fall. Det har aldrig varit tänkt från min sida eller varit ifrågasatt något sådant, när det gäller unga lärare, att myndigheterna därvidlag skulle taga den hänsyn till lärarna, att de skulle låta skoldistriktens och kommunernas och skolans intressen träda tillbaka. Vad jag åsyftat i min motion är denna rad av </w:t>
      </w:r>
      <w:r>
        <w:rPr>
          <w:b/>
        </w:rPr>
        <w:t>lärarinnor³</w:t>
      </w:r>
      <w:r>
        <w:rPr>
          <w:b w:val="0"/>
        </w:rPr>
        <w:t>, som ha arbetat oförvitligt och äro uppe i 35-, 40—50-årsåldern, och som faktiskt antagits till lärare på grund av lärarbristen och som eljest sannolikt icke ha någon möjlighet att få platser. Det är dessa, som jag åtminstone som motionär avsett att taga hand om och vilkas intressen jag sökt tillvarataga i detta fall.</w:t>
        <w:br/>
        <w:br/>
        <w:t xml:space="preserve">Jag är visserligen icke i och för sig någon beundrare av domkapitlen och domkapitelsinstitutionen, men jag måste från ett långt livs erfarenhet säga mig, att domkapitlen äro i allmänhet institutioner, som förfara med förstånd och omdöme vid sina mellanhavanden med skoldistrikten. Om man får saken ordnad på det sätt, utskottet föreslagit, är jag ganska säker på, att det i stort sett skall komma att gå ganska friktionsfritt. Det är klart, att i ett sådant fall, som Jag funnit i min exempelsamling — huruvida det är riktigt, kan jag inte bedöma; jag har inte kunnat kontrollera det, och jag kan ju inte rannsaka hjärtan och njurar, men fallet kan ju tänkas — där man finner, att mycket strid står om en föreslagen omorganisation, vid vilken en över 50-årig </w:t>
      </w:r>
      <w:r>
        <w:rPr>
          <w:b/>
        </w:rPr>
        <w:t>lärarinna³</w:t>
      </w:r>
      <w:r>
        <w:rPr>
          <w:b w:val="0"/>
        </w:rPr>
        <w:t xml:space="preserve"> skulle få träda tillbaka för att bereda plats för en nära anförvant till en skolrådsordförande, så bör ju domkapitlet kunna säga, att det vill domkapitlet inte vara med om. Jag vill påpeka, att det inte är fråga om att här göra någon insinuation, men det finns ett skoldistrikt, som jag känner till, där en mycket stark opinion i liknande riktning gör sig gällande. Jag skulle kunna namnge skoldistriktet, men det vore ju att utpeka personer, och det vill jag inte. Får ett domkapitel hand om en sådan sak, så gör det naturligtvis en undersökning, och dess uppfattning kommer givetvis att influera på frågans avgörande.</w:t>
        <w:br/>
        <w:br/>
        <w:t>Jag tror, herr talman, att det blir mycket svårt för riksdagen att lotsa sig fram mellan å ena sidan skolans rätt och socknens rätt och intresse och å den andra sidan hänsynen till lärarna, som riskera att förlora alla existensmöjligheter. Men jag tror, att den väg, som Kungl. Maj:t har anvisat och som statsutskottet sedermera utvidgat är en ganska framkomlig medelväg, som inte kommer att föranleda några verkliga svårigheter på något håll. Detta gör, att jag för min del vågar yrka bifall till utskottets hemställan.</w:t>
      </w:r>
    </w:p>
    <w:p>
      <w:pPr>
        <w:pStyle w:val="Heading2"/>
      </w:pPr>
      <w:r>
        <w:t>2. Adolf Dahl (Första kammarens nationella parti, man)</w:t>
      </w:r>
    </w:p>
    <w:p>
      <w:r>
        <w:rPr>
          <w:b w:val="0"/>
        </w:rPr>
        <w:t>Herr Bergqvist betonade, liksom även utskottet gjort, att man städse i denna fråga vidhållit den principen, att skolans bästa skall gå före lärarens bästa, och herr Bergqvist förmenade vidare, att de fall, där domkapitlets prövning skulle komma att resultera i ett inställande av ett omorganisationsbeslut, säkerligen skulle bli ytterst få. Om jag ställer dessa uttalanden mot herr Rydéns framställning, så kan jag inte finna, att de stå vidare bra tillsammans. Herr Rydén åberopade som skäl för den av honom Jämte medmotionärer föreslagna utvidgningen av förmånerna för dessa gamla lärare, att stora grupper av de lärare, som här kunde komma i fråga, inte skulle få någon hjälp med den anordning, som Kungl. Maj:t föreslagit. Då förutsätter väl ändå herr Rydén, att det verkligen skulle bli någon effektivitet av denna prövningsinstitution och att den således, i motsats till vad herr Bergqvist förmenade, i inte så få fall skulle resultera i ett inställande av omorganisationen. Men vart kommer man då med herr Bergqvists princip, att skolans bästa alltid skall gå före individens?</w:t>
        <w:br/>
        <w:br/>
        <w:t>Herr Rydén, som, med den stora aktning jag har för honom i övrigt, gärna, det måste jag säga, skattar åt att vända saken personligt, frågade mig, vart</w:t>
        <w:br/>
        <w:br/>
        <w:t xml:space="preserve">den barmhärtighetskänsla, som jag visade privatlärarinnorna 1927, då det gällde skolreformen, och likaså den barmhärtighet, som jag visade de avskedade militärerna, tagit vägen. Jag frågar: Var har herr Rydén gjort av sin logik? Vi hjälpte privatlärarinnorna och vi hjälpte militärerna med statsmedel, men här vill herr Rydén inte hjälpa dessa </w:t>
      </w:r>
      <w:r>
        <w:rPr>
          <w:b/>
        </w:rPr>
        <w:t>lärarinnor³</w:t>
      </w:r>
      <w:r>
        <w:rPr>
          <w:b w:val="0"/>
        </w:rPr>
        <w:t xml:space="preserve"> med något anslag av statsmedel, utan han vill hjälpa dem genom en försämring av skolväsendet. Det är en rasande skillnad, såvitt jag förstår. Det förvånar mig rätt mycket, att gu f. d. ecklesiastikminister på detta sätt vill visa sin ömhet om skolans ästa.</w:t>
        <w:br/>
        <w:br/>
        <w:t>Herr Rydén tillvitade mig även, att jag vänt saken på ett sätt, som inte hade med verkligheten att göra, när jag betonade oegentligheten av denna tvåårsgräns vidmakthållande. Herr Rydén anförde som skäl för denna sin mening, dels att man överhuvud taget på senare tiden anställt mycket få lärare av dessa kategorier och att därför två-årsgränsen inte i nämnvärd utsträckning förefanns, dels att man naturligtvis vid prövningen icke komme att ta hänsyn till så unga lärare som de, vilka nätt och jämnt nått över denna gräns. Hur det förhåller sig med det förra argumentet känner jag inte, och hur herr Rydén kan veta något i det senare fallet, förstår jag ännu mindre, ty inte kan väl herr Rydén ge domkapitlen direktiv för deras prövning. Här föreligger inte annat än ett förslag, att denna kungörelse skall avfattas så, att om en lärare har två års anställning inom samma skoldistrikt, skall han vara berättigad att ge uppslag till hela denna prövning, och det är den saken, som jag inte finner någon reson i. Herr Rydén har inte kunnat på minsta sätt ge skäl för sitt påstående, att jag kommit ifrån verkligheten med mina anmärkningar, ty det är oundvikligt, att denna anordning ger möjlighet till en sådan prövning även för två-åriga lärare. Det är det, som jag opponerar mig mot. Det finns inte något sammanhang mellan detta och övriga statsanställdas förhållanden.</w:t>
        <w:br/>
        <w:br/>
        <w:t xml:space="preserve">Jag hade önskat, att herrarna med noggrannhet hade läst detta statsutskottsutlåtande, men det är alltid så, att när ett utlåtande blivit nära nog enhälligt beslutat i utskottet, passerar det rätt flyktigt kammarens uppmärksamhet vid den förberedande läsningen. Jag kan endast uttala min förvåning över, att den motivering, som jag här anfört och som jag i huvudsak andragit i utskottet, inte fått större tillslutning. Det visar bara, att ibland tar sentimentaliteten alldeles överhand över förståndsprövningen. Men här är det en oberättigad sentimentalitet. Jag ömmar lika mycket som herr Rydén för dessa lärare, vilka träffas av en så ojämn behandling, som herr Rydén nämnde, men jag menar, att hjälpen skall lämnas på ett helt annat sätt än i denna fullkomligt irrationella ordning, att man skjuter undan en berättigad omorganisation blott för att hjälpa de anställda. Herr Rydén borde i stället motionera om, att dessa </w:t>
      </w:r>
      <w:r>
        <w:rPr>
          <w:b/>
        </w:rPr>
        <w:t>lärarinnor³</w:t>
      </w:r>
      <w:r>
        <w:rPr>
          <w:b w:val="0"/>
        </w:rPr>
        <w:t>, som efter en långvarig och förtjänstfull anställning bliva hårt behandlade, genom statens mellankomst måtte bli på något sätt hjälpta och att det inte sker på denna enligt min mening fullkomligt olämpliga och oriktiga väg.</w:t>
        <w:br/>
        <w:br/>
        <w:t>Jag vidhåller mitt yrkande.</w:t>
      </w:r>
    </w:p>
    <w:p>
      <w:pPr>
        <w:pStyle w:val="Heading2"/>
      </w:pPr>
      <w:r>
        <w:t>3. Ruben Wagnsson (Socialdemokraterna, man)</w:t>
      </w:r>
    </w:p>
    <w:p>
      <w:r>
        <w:rPr>
          <w:b w:val="0"/>
        </w:rPr>
        <w:t>Herr talman! Herr Dahl har i sitt senaste anförande vidhållit den uppfattning han redan i det första anförandet framförde, nämligen att det här vore fråga om att tillvarataga lärarnas intressen framför skolans och att i den mån lärarnas intressen tillvaratoges, skulle det t. o. m. kunna ske, som han skärpte det i sitt senaste anförande, genom en skolförsämring. Den omorganisation det här talats om innebär oftast — det har redan betonats av ett par talare, och jag upprepar det endast för att fästa uppmärksamheten på, att den påstådda skolförsämringen ingalunda har de dimensioner, som herr Dahl vill göra gällande — att sarama läraravdelningar finnas kvar, att sam-</w:t>
        <w:br/>
        <w:br/>
        <w:t>ma skollokaler finnas kvar, men att i stället för en lirare med småskolekompetens en lärare med folkskolekompetens kommer att undervisa. Det är därför inte alldeles riktigt, i många fall åtminstone, att generellt säga, såsom herr Dahl gjorde i sitt tidigare anförande, att en kommun, som gör en sådan omorganisation av sitt skolväsen, därigenom också påtager sig väsentligt ökade utgifter. I åtskilliga fall är det inte fråga om några som helst ökade utgifter från kommunens sida. Det blir ungefär samma utgifter för skolväsendet efter omorganisationen, som det var förut.</w:t>
        <w:br/>
        <w:br/>
        <w:t>Nu kan man ifrågasätta, huruvida det i detta fall är av något intresse, att, som herr Dahl ville göra gällande, slå vakt om den kommunala självbestämningsrätten, vilken skulle trädas för nära genom utskottets förslag. Jag vill crinra om, att redan nu gällande bestämmelser innebära, att för den händelse ett skoldistrikt inte vill vidtaga de skoländringar, som av statsmakterna anses nödvändiga, så kan skoldistriktet under vissa förhållanden tvingas att vidtaga sådana åtgärder. Det förslag, som här är framställt, innebär ingenting annat än, att när ett skoldistrikt självt vill vidtaga förändringar i sitt skolväsen, som komma att medföra ökade kostnader för statsverket, så skall någon statlig myndighet ha rätt att pröva, om det är oundgängligen nödvändigt, att dessa förändringar vidtagas nu. När man varit med om att i det ena fallet träda den kommunala självbestämningsrätten för nära, förstår jag inte, att man av principiella skäl kan avböja, att det genom representanter för statsmakterna blir prövat, huruvida en skoländring, som medför ökade kostnader för statsverket, verkligen behöver vidtagas.</w:t>
        <w:br/>
        <w:br/>
        <w:t>Jag tillåter mig också erinra om, att det är heller inte alls frågan om någon principiell nyhet i det förslag som föreligger. Redan nu måste varje beslut om en skolförbättring tillstyrkas såväl av folkskolinspektör som av domkapitel. Skillnaden är bara den att domkapitlet enligt detta förslag vid sitt övervägande också skall ta hänsyn till, huruvida det finns möjlighet att placera den lärarkraft, som skulle bli arbetslös genom omorganisationen, eller om man inte möjligtvis genom att skjuta på omorganisationen något år skulle kunna bereda trygghet åt denna lärarkraft. Nog är det efter mitt sätt att se betydligt mera rationellt att följa den linje, som statsutskottet här förordar, än att gå på den linje, som herr Dahl förordar. Enligt den senare skulle statsmakterna påtaga sig vissa ekonomiska förpliktelser för att en kommun genomför en skolförbättring utan att ens ha prövat, om dessa utgifter äro oundgängligen nödvändiga.</w:t>
        <w:br/>
        <w:br/>
        <w:t>Jag tror alltså, att starka skäl — inte bara sentimentala skäl, som herr Dahl ville göra gällande — tala för den ståndpunkt, som statsutskottet här intagit, och jag ber därför, herr talman, att få yrka bifall till utskottets hemställan.</w:t>
      </w:r>
    </w:p>
    <w:p>
      <w:pPr>
        <w:pStyle w:val="Heading2"/>
      </w:pPr>
      <w:r>
        <w:t>4. Värner Ryden (Socialdemokraterna, man)</w:t>
      </w:r>
    </w:p>
    <w:p>
      <w:r>
        <w:rPr>
          <w:b w:val="0"/>
        </w:rPr>
        <w:t>Herr talman! Jag skall bara säga ett par ord.</w:t>
        <w:br/>
        <w:br/>
        <w:t xml:space="preserve">Herr Dahl vinkade med det uppslaget, att staten skulle draga försorg om och på något sätt hjälpa de </w:t>
      </w:r>
      <w:r>
        <w:rPr>
          <w:b/>
        </w:rPr>
        <w:t>lärarinnor³</w:t>
      </w:r>
      <w:r>
        <w:rPr>
          <w:b w:val="0"/>
        </w:rPr>
        <w:t xml:space="preserve">, som kastas på bar backe genom omorganisationen. Jag är övertygad om, att det var hans ärliga uppsåt, och jag skall taga det ad notam, särskilt i fall det skulle bli så, att den linje, som statsutskottet föreslagit, inte skulle komma till förverkligande. Men för det första ha ju </w:t>
      </w:r>
      <w:r>
        <w:rPr>
          <w:b/>
        </w:rPr>
        <w:t>lärarinnorna³</w:t>
      </w:r>
      <w:r>
        <w:rPr>
          <w:b w:val="0"/>
        </w:rPr>
        <w:t xml:space="preserve"> själva genom sin sammanslutning starkt opponerat sig emot tanken på en förtidspensionering, som det ju skulle bli på detta vis. De säga, att det är deprimerande, då man är arbetsför och frisk, att inte få fortsätta med det arbete man är intresserad för, och man vill inte i första hand tänka sig den vägen. |</w:t>
        <w:br/>
        <w:br/>
        <w:t xml:space="preserve">Men jag återkommer till det fall, som jag nämnde nyss, fallet i Hasslarp. Där var det en </w:t>
      </w:r>
      <w:r>
        <w:rPr>
          <w:b/>
        </w:rPr>
        <w:t>lärarinna³</w:t>
      </w:r>
      <w:r>
        <w:rPr>
          <w:b w:val="0"/>
        </w:rPr>
        <w:t xml:space="preserve"> på 55 år, som hade avskedats utan vidare efter en ungefär 20-årig tjänstgöring som </w:t>
      </w:r>
      <w:r>
        <w:rPr>
          <w:b/>
        </w:rPr>
        <w:t>lärarinna³</w:t>
      </w:r>
      <w:r>
        <w:rPr>
          <w:b w:val="0"/>
        </w:rPr>
        <w:t xml:space="preserve"> på mellanstadiet. </w:t>
      </w:r>
      <w:r>
        <w:rPr>
          <w:b/>
        </w:rPr>
        <w:t>Hon²</w:t>
      </w:r>
      <w:r>
        <w:rPr>
          <w:b w:val="0"/>
        </w:rPr>
        <w:t xml:space="preserve"> hade an-</w:t>
        <w:br/>
        <w:br/>
        <w:t xml:space="preserve">setts vara den duktigaste av de två </w:t>
      </w:r>
      <w:r>
        <w:rPr>
          <w:b/>
        </w:rPr>
        <w:t>lärarinnor³</w:t>
      </w:r>
      <w:r>
        <w:rPr>
          <w:b w:val="0"/>
        </w:rPr>
        <w:t xml:space="preserve">, som funnos där, och hade på skolrådets uppmaning flyttats över på det högre stadiet, medan en yngre kamrat, som hade småskolan, blev ordinarie på grund av de bestämmelser, som infördes 1918. </w:t>
      </w:r>
      <w:r>
        <w:rPr>
          <w:b/>
        </w:rPr>
        <w:t>Hon²</w:t>
      </w:r>
      <w:r>
        <w:rPr>
          <w:b w:val="0"/>
        </w:rPr>
        <w:t xml:space="preserve">, som överfördes till mellanstadiet, blev inte ordinarie och har därför nu kunnat avskedas. Hade </w:t>
      </w:r>
      <w:r>
        <w:rPr>
          <w:b/>
        </w:rPr>
        <w:t>hon²</w:t>
      </w:r>
      <w:r>
        <w:rPr>
          <w:b w:val="0"/>
        </w:rPr>
        <w:t xml:space="preserve"> varit den yngre och svagare av </w:t>
      </w:r>
      <w:r>
        <w:rPr>
          <w:b/>
        </w:rPr>
        <w:t>lärarinnorna³</w:t>
      </w:r>
      <w:r>
        <w:rPr>
          <w:b w:val="0"/>
        </w:rPr>
        <w:t xml:space="preserve">, så hade </w:t>
      </w:r>
      <w:r>
        <w:rPr>
          <w:b/>
        </w:rPr>
        <w:t>hon²</w:t>
      </w:r>
      <w:r>
        <w:rPr>
          <w:b w:val="0"/>
        </w:rPr>
        <w:t xml:space="preserve"> fått tjänstgöra på småskolestadiet och blivit ordinarie. Skillnaden mellan motionärernas och herr Dahls tankegång är, att vi resonera som så: Har </w:t>
      </w:r>
      <w:r>
        <w:rPr>
          <w:b/>
        </w:rPr>
        <w:t>hon²</w:t>
      </w:r>
      <w:r>
        <w:rPr>
          <w:b w:val="0"/>
        </w:rPr>
        <w:t xml:space="preserve"> tjänstgjort i ungefär 20 år och har bara tre år kvar till pensionsåldern, är det väl då ett så oerhört stort landsintresse eller skoldistriktsintresse, att </w:t>
      </w:r>
      <w:r>
        <w:rPr>
          <w:b/>
        </w:rPr>
        <w:t>hon²</w:t>
      </w:r>
      <w:r>
        <w:rPr>
          <w:b w:val="0"/>
        </w:rPr>
        <w:t xml:space="preserve"> inte får tjänstgöra dessa tre år ut, utan att </w:t>
      </w:r>
      <w:r>
        <w:rPr>
          <w:b/>
        </w:rPr>
        <w:t>hon²</w:t>
      </w:r>
      <w:r>
        <w:rPr>
          <w:b w:val="0"/>
        </w:rPr>
        <w:t xml:space="preserve"> skall avskedas och posten besättas med en folkskollärarinna? Jag tror, att ett domkapitel och överhuvud taget hyggliga människor säga, att har </w:t>
      </w:r>
      <w:r>
        <w:rPr>
          <w:b/>
        </w:rPr>
        <w:t>hon²</w:t>
      </w:r>
      <w:r>
        <w:rPr>
          <w:b w:val="0"/>
        </w:rPr>
        <w:t xml:space="preserve"> tjänstgjort i 20 år och har bara tre år kvar till pensionsåldern, så låta vi med omorganisationen anstå. </w:t>
      </w:r>
      <w:r>
        <w:rPr>
          <w:b/>
        </w:rPr>
        <w:t>Hon²</w:t>
      </w:r>
      <w:r>
        <w:rPr>
          <w:b w:val="0"/>
        </w:rPr>
        <w:t xml:space="preserve"> får sitta kvar sina tre år, det är inte något fel på </w:t>
      </w:r>
      <w:r>
        <w:rPr>
          <w:b/>
        </w:rPr>
        <w:t>henne²</w:t>
      </w:r>
      <w:r>
        <w:rPr>
          <w:b w:val="0"/>
        </w:rPr>
        <w:t xml:space="preserve">, och så ta vi en folkskollärarinna, då </w:t>
      </w:r>
      <w:r>
        <w:rPr>
          <w:b/>
        </w:rPr>
        <w:t>hon²</w:t>
      </w:r>
      <w:r>
        <w:rPr>
          <w:b w:val="0"/>
        </w:rPr>
        <w:t xml:space="preserve"> avgår. Herr Dahl anser, att </w:t>
      </w:r>
      <w:r>
        <w:rPr>
          <w:b/>
        </w:rPr>
        <w:t>hon²</w:t>
      </w:r>
      <w:r>
        <w:rPr>
          <w:b w:val="0"/>
        </w:rPr>
        <w:t xml:space="preserve"> bör avskedas och ha statsunderstöd, men det är också den tanken, som föresvävat utskottet, då det vill låta </w:t>
      </w:r>
      <w:r>
        <w:rPr>
          <w:b/>
        </w:rPr>
        <w:t>henne²</w:t>
      </w:r>
      <w:r>
        <w:rPr>
          <w:b w:val="0"/>
        </w:rPr>
        <w:t xml:space="preserve"> sitta kvar de tre åren och så låta </w:t>
      </w:r>
      <w:r>
        <w:rPr>
          <w:b/>
        </w:rPr>
        <w:t>henne²</w:t>
      </w:r>
      <w:r>
        <w:rPr>
          <w:b w:val="0"/>
        </w:rPr>
        <w:t xml:space="preserve"> få pension i den anstalt, där </w:t>
      </w:r>
      <w:r>
        <w:rPr>
          <w:b/>
        </w:rPr>
        <w:t>hon²</w:t>
      </w:r>
      <w:r>
        <w:rPr>
          <w:b w:val="0"/>
        </w:rPr>
        <w:t xml:space="preserve"> varit med och betalat sina pensionsavgifter under hela sin tjänstetid. Jag vill framhålla, att det är en väsentlig skillnad mellan dessa båda sätt att förfara. Jag tror, att det skulle bli ganska svårt att få igenom ett någorlunda tillfredsställande förslag i riksdagen om statsunderstöd åt avskedade </w:t>
      </w:r>
      <w:r>
        <w:rPr>
          <w:b/>
        </w:rPr>
        <w:t>lärarinnor³</w:t>
      </w:r>
      <w:r>
        <w:rPr>
          <w:b w:val="0"/>
        </w:rPr>
        <w:t xml:space="preserve"> — fast det får naturligtvis övervägas åtminstone beträffande en del fall. Skulle varken det ena eller andra gå igenom, då blir det ju rena obarmhärtigheten, som kommer att tillämpas i fråga om dessa samhällets tjänare. Jag ställer ännu en gång den frågan: Nog har väl staten moralisk skyldighet att ta hänsyn till dessa </w:t>
      </w:r>
      <w:r>
        <w:rPr>
          <w:b/>
        </w:rPr>
        <w:t>lärarinnor³</w:t>
      </w:r>
      <w:r>
        <w:rPr>
          <w:b w:val="0"/>
        </w:rPr>
        <w:t xml:space="preserve">, av vilka många tjänstgjort i ödemarkerna och många gånger inte haft ett skolhus, utan haft förhyrda lokaler i fjällbyarna o. s. v., likaväl som staten hade skyldighet att ta hänsyn till </w:t>
      </w:r>
      <w:r>
        <w:rPr>
          <w:b/>
        </w:rPr>
        <w:t>flickskolelärarinnorna²</w:t>
      </w:r>
      <w:r>
        <w:rPr>
          <w:b w:val="0"/>
        </w:rPr>
        <w:t xml:space="preserve"> vid de privata läroverken? Jag tror, att herr Dahls farhågor äro i väsentlig mån uppkonstruerade, och i verkligheten kommer det att gå så till, att domkapitlen och skolråden komma att klara saken på ett humant sätt, ifall bara föreskrifter finnas.</w:t>
        <w:br/>
        <w:br/>
        <w:t>Slutligen säger herr Dahl: Herr Rydén kan inte ge domkapitlen direktiv. Nej, det har jag aldrig föreställt mig. Men det brukar ofta vara så, att då myndigheterna gå att tolka innebörden i en författning, så läsa de igenom vad som sagts och skrivits av olika myndigheter eller motionärer m. fl., som ha i saken varit agerande. Då herr Dahl försökte pressa detta uttryck så, att man kunde få den uppfattningen, att man skulle få gå ner ända till dem, som hade två års tjänstgöring, så ville jag ställa min mening som motionär emot denna hans uppfattning och säga, att så ha vi inte tänkt oss saken. Jag avser inte att ge några direktiv åt något håll, men jag tänker mig, att de myndigheter, som skola tillämpa denna föreskrift, få väl se efter vad statsutskottet och motionären och herr Dahl och allesammans, som yttrat sig, haft för mening, då föreskriften kom till. Det var denna mycket blygsamma betydelse, som jag ville tillmäta mitt yttrande.</w:t>
      </w:r>
    </w:p>
    <w:p>
      <w:pPr>
        <w:pStyle w:val="Heading2"/>
      </w:pPr>
      <w:r>
        <w:t>5. Johan Bergman (Liberala samlingspartiet, man)</w:t>
      </w:r>
    </w:p>
    <w:p>
      <w:r>
        <w:rPr>
          <w:b w:val="0"/>
        </w:rPr>
        <w:t xml:space="preserve">Herr talman! Jag finner för min del, att synnerligen starka skäl tala för den ståndpunkt, som herr Rydén gjort sig till målsman för. De exempel han anförde äro ju ganska talande. Det gällde där </w:t>
      </w:r>
      <w:r>
        <w:rPr>
          <w:b/>
        </w:rPr>
        <w:t>lärarinnor³</w:t>
      </w:r>
      <w:r>
        <w:rPr>
          <w:b w:val="0"/>
        </w:rPr>
        <w:t xml:space="preserve"> i framskriden ålder, som tjänstgjort i 20 år eller mer under svåra förhållanden, och det är icke underligt, att utskottet följt honom i hans hänsynstagande till dessa. Men hans motion har ju en mycket vidsträcktare omfattning, än dessa exempel ge vid handen. Enligt motionen behöva lärarna icke ha tjänstgjort i mer än två år för att få den förmån han yrkar. Han gjorde jämförelser med</w:t>
        <w:br/>
        <w:br/>
      </w:r>
      <w:r>
        <w:rPr>
          <w:b/>
        </w:rPr>
        <w:t>flickskolelärarinnorna²</w:t>
      </w:r>
      <w:r>
        <w:rPr>
          <w:b w:val="0"/>
        </w:rPr>
        <w:t xml:space="preserve">, som skulle ha behandlats på ett gentilare sätt. Jag ber dock att få erinra om, att för dem var en tjänstgöringstid av minst fem år bestämd, och jag har mig bekant, att det finns åtskilliga, som stupat på detta streck och nu äro arbetslösa. Enligt herr Rydéns här framställda yrkande skulle det alltså handlas mera generöst mot folkskollärarinnorna. Jag har ju ingenting emot denna generositet, utan tycker, att man gärna kan gå in på förslaget, om det finns möjligheter att genomdriva det. Kanske kan det i sinom tid medföra samma generositet mot </w:t>
      </w:r>
      <w:r>
        <w:rPr>
          <w:b/>
        </w:rPr>
        <w:t>flickskolelärarinnorna²</w:t>
      </w:r>
      <w:r>
        <w:rPr>
          <w:b w:val="0"/>
        </w:rPr>
        <w:t xml:space="preserve">. Jag känner åtskilliga fall, där på grund av omorganisationen av </w:t>
      </w:r>
      <w:r>
        <w:rPr>
          <w:b/>
        </w:rPr>
        <w:t>flickskoleundervisningen²</w:t>
      </w:r>
      <w:r>
        <w:rPr>
          <w:b w:val="0"/>
        </w:rPr>
        <w:t xml:space="preserve"> </w:t>
      </w:r>
      <w:r>
        <w:rPr>
          <w:b/>
        </w:rPr>
        <w:t>lärarinnor³</w:t>
      </w:r>
      <w:r>
        <w:rPr>
          <w:b w:val="0"/>
        </w:rPr>
        <w:t xml:space="preserve">, som befinna sig nedanför det nyssnämnda strecket, redan nu blivit ställda alldeles utan plats. Det beror på, att den lägsta </w:t>
      </w:r>
      <w:r>
        <w:rPr>
          <w:b/>
        </w:rPr>
        <w:t>flickskoleklassen²</w:t>
      </w:r>
      <w:r>
        <w:rPr>
          <w:b w:val="0"/>
        </w:rPr>
        <w:t xml:space="preserve"> blivit bortskuren och redan förut de förberedande klasserna förlorat statsbidrag. Undervisningen på detta åldersstadium anses höra övertagas av folkskolorna. Skulle det då icke vara synnerligen lämpligt, att man under övergångstiden gåve dessa därigenom arbetslösa </w:t>
      </w:r>
      <w:r>
        <w:rPr>
          <w:b/>
        </w:rPr>
        <w:t>lärarinnor³</w:t>
      </w:r>
      <w:r>
        <w:rPr>
          <w:b w:val="0"/>
        </w:rPr>
        <w:t xml:space="preserve"> anställning i folkskolorna?</w:t>
        <w:br/>
        <w:br/>
        <w:t xml:space="preserve">Detta hör ju icke direkt till den fråga, som nu är före, men eftersom saken kom på tal genom herr Rydéns egen erinran om </w:t>
      </w:r>
      <w:r>
        <w:rPr>
          <w:b/>
        </w:rPr>
        <w:t>flickskolefrågan²</w:t>
      </w:r>
      <w:r>
        <w:rPr>
          <w:b w:val="0"/>
        </w:rPr>
        <w:t>, så har jag velat fästa uppmärksamheten härpå. I sak ber Jag att få instämma med honom och yrkar alltså bifall till statsutskottets hemställan.</w:t>
        <w:br/>
        <w:br/>
        <w:t>»Då utskottet icke är övertygat om att anslag för det ändamål, som här är i fråga, kan medföra någon större praktisk nytta, får utskottet, som jämväl beaktat de konsekvenser, vartill ett bifall till motionärernas förslag kunde leda</w:t>
        <w:br/>
        <w:br/>
        <w:t>med hänsyn till eventuella liknande framställningar från förespråkare för andra konstspråk än esperanto, avstyrka motionerna.</w:t>
        <w:br/>
        <w:br/>
        <w:t>Utskottet hemställer alltså, att herr Wagnssons m. fl. och herr Erikssons i Stockholm m. fl. ovanberörda motioner (1:82 och II:134) icke må av riksdagen bifallas.»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594</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