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627</w:t>
      </w:r>
    </w:p>
    <w:p>
      <w:r>
        <w:rPr>
          <w:b/>
        </w:rPr>
        <w:t xml:space="preserve">Datum: </w:t>
      </w:r>
      <w:r>
        <w:t>1930-04-26</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Ivar Vennerström (Socialdemokraterna, man)</w:t>
      </w:r>
    </w:p>
    <w:p>
      <w:r>
        <w:rPr>
          <w:b w:val="0"/>
        </w:rPr>
        <w:t>Jag ber att få bekräfta den siste talarens meddelande, att det var lotten, som fällde utslaget mellan de tio, som röstade på vardera sidan. Men detta är inte något förringande av anmärkningens värde utan snarare tvärtom. Det var uppenbarligen en högre försyn, som därvid lät lotten falla till förmån för anmärkningen. Jag är viss om att såväl herr Reuterskiöld som även regeringen tror på en högre vägledande försyn, och alltså bör detta vara en fingervisning även för herrarna om att vi, som ha anmärkt, ha anmärkt med full rättfärdighet.</w:t>
        <w:br/>
        <w:br/>
        <w:t xml:space="preserve">Den, som föranledde mig att begära ordet, var min värderade vän, herr Stendahl. Jag gratulerar verkligen vårt svenska samhälle, att det icke har honom till justitieminister. Det skulle vara synnerligen farligt för den svenska rättsskipningen, det säger jag till honom, så son och arvtagare han i alla fall är till en i många fall förtjänstfull stadsfiskal i huvudstaden. Han sade, att man kan utvisa varje människa på bara misstankar, att </w:t>
      </w:r>
      <w:r>
        <w:rPr>
          <w:b/>
        </w:rPr>
        <w:t>hon²</w:t>
      </w:r>
      <w:r>
        <w:rPr>
          <w:b w:val="0"/>
        </w:rPr>
        <w:t xml:space="preserve"> i framtiden till äventyrs kan göra något ofog. Ja, vem skulle inte kunna göra det? Mot vem skulle inte sådana misstankar kunna riktas? Det skulle icke finnas någon enda utlänning, som inte med herr Stendahls villkor skulle kunna utvisas i denna dag. Men jag ber herr Stendahl vara vänlig observera, att det i alla fall i gällande förordning står, att Konungen skall förordna om förhör inför Konungens befallningshavande, när fråga uppkommer rörande utvisning. Man skulle förhöra en människa, som eventuellt kommer att utvisas, huruvida </w:t>
      </w:r>
      <w:r>
        <w:rPr>
          <w:b/>
        </w:rPr>
        <w:t>hon²</w:t>
      </w:r>
      <w:r>
        <w:rPr>
          <w:b w:val="0"/>
        </w:rPr>
        <w:t xml:space="preserve"> till äventyrs i framtiden skulle komma att begå några dumheter gent emot svensk lag! Jag får lov att säga herr Stendahl, att jag icke bekriper, vad sådana förhör egentligen skulle tjäna till. Jag ber att få uttrycka min stora tacksamhet för att vi inte ha herr Stendahl utan ha en ändå juridiskt så förståndig och en så humanitärt lagd man som herr Bissmark till justitieminister, ehuru Jag beklagar, att hans förstånd blivit förmörkat och även hans humanitära sinne en smula iskylt vid behandlingen av detta ärende.</w:t>
        <w:br/>
        <w:br/>
        <w:t>Förresten vill jag säga, att jag mycket väl förstår, att en man, som blivit försatt i samma predikament som Hurmevaara — enligt sin egen mening orättvist utvisad, illa behandlad av den svenska polisen och sedan sänd till ett land, som han själv egentligen hade mycket litet med att skaffa — jag förstår mycket väl, att den mannen i ett sådant ögonblick kan låta de upprörda känslorna flamma ut i uttalanden, som kanske formellt inte äro fullt oantastliga. Jag känner min vän herr Stendahl sedan åratal av umgänge och ganska heta bataljer inom vårt gemensamma utskott. Det finns inte i denna församling en mera bolsjevikiskt lagd natur än herr Stendahl. Herr Stendahl är den verkligt gode högerbolsjeviken, och jag tror, att herrarna på regeringsbänken kunna med mig intyga, att herr Stendahl har förnämliga bolsjevikiska anlag. Jag är viss om att herr Stendahl, ifall han varit i Hurmevaaras ställe, sagt detsamma som Hurmevaara och gjort det mycket mera temperamentsfullt. Jag tror, att herr Stendahl själv borde vara den siste att använda ett temperamentsfullt ord, fällt efter utvisningen, som motivering för utvisningen i fråga.</w:t>
      </w:r>
    </w:p>
    <w:p>
      <w:pPr>
        <w:pStyle w:val="Heading2"/>
      </w:pPr>
      <w:r>
        <w:t>2. Carl Lindhagen (–, man)</w:t>
      </w:r>
    </w:p>
    <w:p>
      <w:r>
        <w:rPr>
          <w:b w:val="0"/>
        </w:rPr>
        <w:t>Herr talman! Jag är väsentligen förekommen av herr Ang. H. Hur-</w:t>
        <w:br/>
        <w:br/>
        <w:t xml:space="preserve">Vennerström. Jag berörde ock i mitt förra yttrande, vad man kan säga om det där sista uttalandet av Hurmevaara, sedan det provisoriska fäderneslandet berövat honom och hans familj deras enda rötter i något lands jord och tagit ifrån honom hans och hans familjs uppehälle, ryckt hans små </w:t>
      </w:r>
      <w:r>
        <w:rPr>
          <w:b/>
        </w:rPr>
        <w:t>flickor²</w:t>
      </w:r>
      <w:r>
        <w:rPr>
          <w:b w:val="0"/>
        </w:rPr>
        <w:t xml:space="preserve"> från den svenska skolan, där de ju skött sig bra och hade utmärkta betyg, åtminstone den äldre, som hade genomgått flera klasser o. s. v. Han ger då ett uttryck åt sin kommunistiska åskådning, för vilken han ju åtnjutit asylrätt i detta land, som vi känna till. Herr Stendahl anlägger här en riktigt äkta gammaldags polisåskådning och säger: »Där ser ni, vilka förskräckliga åsikter den mannen har. Det var för väl, att vi blevo av med honom.» Ja, det är barbariet i sin prydno, herr Stendahl! Så skall det låta. Då blir det verkliga rättssamhället äntligen ett polissamhälle.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