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677</w:t>
      </w:r>
    </w:p>
    <w:p>
      <w:r>
        <w:rPr>
          <w:b/>
        </w:rPr>
        <w:t xml:space="preserve">Datum: </w:t>
      </w:r>
      <w:r>
        <w:t>1931-05-19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Ekman (Första kammarens nationella parti, man)</w:t>
      </w:r>
    </w:p>
    <w:p>
      <w:r>
        <w:rPr>
          <w:b w:val="0"/>
        </w:rPr>
        <w:t>Jag skall be att till fullo få instämma i vad herr Petrén sagt och understryka vikten av, att sådana åtgärder vidtagas, som han nu har förordat. Jag tillåter mig alltså fästa regeringens synnerliga uppmärksamhet på denna fråga.</w:t>
        <w:br/>
        <w:br/>
        <w:t xml:space="preserve">1927 beslutade omorganisationen av det högre skolväsendet eller till följd av inrättande å orten av kommunal </w:t>
      </w:r>
      <w:r>
        <w:rPr>
          <w:b/>
        </w:rPr>
        <w:t>flickskola²</w:t>
      </w:r>
      <w:r>
        <w:rPr>
          <w:b w:val="0"/>
        </w:rPr>
        <w:t xml:space="preserve"> eller högre allmänt läroverk för </w:t>
      </w:r>
      <w:r>
        <w:rPr>
          <w:b/>
        </w:rPr>
        <w:t>flickor²</w:t>
      </w:r>
      <w:r>
        <w:rPr>
          <w:b w:val="0"/>
        </w:rPr>
        <w:t xml:space="preserve">, skulle, därest </w:t>
      </w:r>
      <w:r>
        <w:rPr>
          <w:b/>
        </w:rPr>
        <w:t>hon²</w:t>
      </w:r>
      <w:r>
        <w:rPr>
          <w:b w:val="0"/>
        </w:rPr>
        <w:t xml:space="preserve"> fyllt 50 år vid början av avvecklingen av den statsunderstödda enskilda mellanskolan eller högre gossoch samskolan samt vunnit sådan anställning, som nu angivits, vid statsunderstödd enskild läroanstalt före den 1 mars 1927 eller därest den enskilda läroanstaltens nedläggande förorsakats av att på orten inrättats kommunal </w:t>
      </w:r>
      <w:r>
        <w:rPr>
          <w:b/>
        </w:rPr>
        <w:t>flickskola²</w:t>
      </w:r>
      <w:r>
        <w:rPr>
          <w:b w:val="0"/>
        </w:rPr>
        <w:t xml:space="preserve">, före den 1 mars 1928. kunna erhålla ersättning av statsmedel för mistad anställning samt pension. varvid i övrigt de av 1927, 1928, 1929 och 1930 års riksdagar beträffande vissa </w:t>
      </w:r>
      <w:r>
        <w:rPr>
          <w:b/>
        </w:rPr>
        <w:t>lärarinnor³</w:t>
      </w:r>
      <w:r>
        <w:rPr>
          <w:b w:val="0"/>
        </w:rPr>
        <w:t xml:space="preserve"> vid statsunderstödda högre </w:t>
      </w:r>
      <w:r>
        <w:rPr>
          <w:b/>
        </w:rPr>
        <w:t>flickskolor²</w:t>
      </w:r>
      <w:r>
        <w:rPr>
          <w:b w:val="0"/>
        </w:rPr>
        <w:t xml:space="preserve"> i dessa hänseenden angivna förutsättningar och grunder skulle äga motsvarande tillämpning,</w:t>
      </w:r>
    </w:p>
    <w:p>
      <w:pPr>
        <w:pStyle w:val="Heading2"/>
      </w:pPr>
      <w:r>
        <w:t>2. Wilhelm Björck (Socialdemokraterna, man)</w:t>
      </w:r>
    </w:p>
    <w:p>
      <w:r>
        <w:rPr>
          <w:b w:val="0"/>
        </w:rPr>
        <w:t>Herr talman! I det skick, vari denna utskottets hemställan befinner sig, har jag intet annat yrkande än på bifall, men med hänsyn till den föreliggande frågans innebörd och betydelse nödgas jag understryka vissa delar av utskottets motivering.</w:t>
        <w:br/>
        <w:br/>
        <w:t>Vad beträffar den första punkten i propositionen, vilken i huvudsak biträdes av utskottet, innebär den, att de medgivanden, som riksdagen tidigare har lämnat privatläroverkens personal, i den mån som denna personal drabbas av arbetlöshet på grund av skolreformen, skola utsträckas även till enskilda mellanskolor samt högre gossoch samskolor, så snart sådana skolor nedläggas.</w:t>
        <w:br/>
        <w:br/>
        <w:t>Nu har emellertid i propositionen åberopats ett särskilt fall, vilket föranlett utskottet att understryka den bestämda förutsättningen, att innan medgivandet i fråga tages i anspråk, noggrann undersökning verkställes, huruvida läroanstaltens nedläggande verkligen förorsakats av någon av här angivna grunder. Saken är nämligen den, att den utredning, som förebragts i det åsyftade fallet, kan inte anses hava klarlagt, att de anförda förutsättningarna verkligen föreligga. Undersökningen är inte tillräckligt ingående för att det skall kunna anses styrkt, att det här rör sig om en verkan av skolreformen.</w:t>
        <w:br/>
        <w:br/>
        <w:t>Jag har själv sett en smula på lärjungesiffrorna för den skola, Lundénska</w:t>
        <w:br/>
        <w:br/>
        <w:t xml:space="preserve">privatskolan i Göteborg, som det gäller, och då funnit, att dessa under 1927 till 1930 inte nedgått med mer än 18 lärjungar i de statsunderstödda klasserna, från 121 till 103, vill jag minnas, och följaktligen är det i hög grad diskutabelt, om nedläggandet varit framtvingat av skolreformen. Snarare tala de föreliggande omständigheterna för att det i stället är Göteborgs stadsfullmäktiges beslut att indraga det kommunala understödet, som därvidlag ensamt varit avgörande. Det måste också uppmärksammas att åtminstone vissa av </w:t>
      </w:r>
      <w:r>
        <w:rPr>
          <w:b/>
        </w:rPr>
        <w:t>lärarinnorna³</w:t>
      </w:r>
      <w:r>
        <w:rPr>
          <w:b w:val="0"/>
        </w:rPr>
        <w:t xml:space="preserve"> 1 detta fall gått in till Kungl. Maj:t och begärt dispens från avläggande av folkskollärareexamen, en fråga, som för närvarande ligger under prövning, och det är tänkbart, att man kan tillgodose dem på ett tillfredsställande sätt, utan att staten behöver utsträcka sina förpliktelser.</w:t>
        <w:br/>
        <w:br/>
        <w:t xml:space="preserve">Vidare är det av vikt med hänsyn till den skola, som det här är fråga om, att noga uppmärksamma, att utskottet har begränsat sin understödsverksamhet till </w:t>
      </w:r>
      <w:r>
        <w:rPr>
          <w:b/>
        </w:rPr>
        <w:t>lärarinnor³</w:t>
      </w:r>
      <w:r>
        <w:rPr>
          <w:b w:val="0"/>
        </w:rPr>
        <w:t xml:space="preserve"> inom de statsunderstödda klasserna. Den nyssnämnda skolan är nämligen en mycket underlig skola ur organisatorisk synpunkt. Den åtnjuter statsunderstöd för de fyra högsta av tio klasser. Skulle den fortsatta undersökningen invändningsfritt ådagalägga, att förutsättningar för statsingripande föreligga, kan detta icke få gälla andra än de lärarekrafter, som bestritt undervisningen i dessa fyra klasser. De </w:t>
      </w:r>
      <w:r>
        <w:rPr>
          <w:b/>
        </w:rPr>
        <w:t>lärarinnor³</w:t>
      </w:r>
      <w:r>
        <w:rPr>
          <w:b w:val="0"/>
        </w:rPr>
        <w:t>, som ha haft sin verksamhet i de sex klasser, vilka motsvara folkskolans stadium, kunna givetvis icke göra anspråk på något omhändertagande av statsverket.</w:t>
        <w:br/>
        <w:br/>
        <w:t>Vad så beträffar den andra punkten av propositionen, så har utskottet i denna vidtagit en mycket betydelsefull jämkning. Jag vill särskilt betona, eftersom jag endast med stor tvekan har kunnat biträda den kläm, som utskottet föreslagit, att jag har gjort det endast under den bestämda förutsättningen, att den begränsade tid, om vilken utskottet här talar, verkligen också blir mycket begränsad. Uppmärksammas måste också, att understöd kan utgå uteslutande i syfte att möjliggöra komplettering av utbildningen eller i avvaktan på anställning i statens eller annan tjänst såsom ordinarie eller extra ordinarie lä Taff;</w:t>
        <w:br/>
        <w:br/>
        <w:t xml:space="preserve">Det är sålunda inte alls fråga om, att riksdagen här har gått in för den anordning, som skymtade i den ursprungliga framställningen, att från privatläroverk avskedade </w:t>
      </w:r>
      <w:r>
        <w:rPr>
          <w:b/>
        </w:rPr>
        <w:t>lärarinnor³</w:t>
      </w:r>
      <w:r>
        <w:rPr>
          <w:b w:val="0"/>
        </w:rPr>
        <w:t xml:space="preserve"> i 30-årsåldern skulle kunna för sin återstående livstid onhändertagas av staten. Detta betänkliga arrangemang har utskottet på goda grunder avböjt och i stället gått in för individuellt understödjande under viss begränsad tid, den saken är det ofrånkomligt att här i kammaren fastslå.</w:t>
        <w:br/>
        <w:br/>
        <w:t xml:space="preserve">Jag tror, att med en sådan utformning av understödsbestämmelserna skola konsekvenserna för statsverket och det allmänna inte bli så stora, samtidigt som givetvis </w:t>
      </w:r>
      <w:r>
        <w:rPr>
          <w:b/>
        </w:rPr>
        <w:t>lärarinnornas³</w:t>
      </w:r>
      <w:r>
        <w:rPr>
          <w:b w:val="0"/>
        </w:rPr>
        <w:t xml:space="preserve"> intressen äro tillgodosedda så långt man överhuvud</w:t>
        <w:br/>
        <w:br/>
        <w:t xml:space="preserve">uligen kan gå utan att vara orättvis mot statens egna befattningshavare. Der ar emellertid i hög grad önskvärt för att icke säga nödvändigt för att förhindra orättvisor i tillämpningen, att Kungl. Maj:t, när det gäller att utforma dessa föreskrifter, tillförsäkrar någon statlig myndighet avgörande inflytande över det sätt, på vilket privatläroverken entlediga de hos dem anställda. Det bör t. ex. inte få ligga i privatläroverkens skön att avskeda ersättningsberättigade </w:t>
      </w:r>
      <w:r>
        <w:rPr>
          <w:b/>
        </w:rPr>
        <w:t>lärarinnor³</w:t>
      </w:r>
      <w:r>
        <w:rPr>
          <w:b w:val="0"/>
        </w:rPr>
        <w:t xml:space="preserve"> och bibehålla andra, som blivit anställda efter den 1 mars 1927. I så fall kommer staten att på en omväg få en understödsplikt, som aldrig har varit avsedd och som uppenbarligen går utöver råmärkena för det rimliga. En huvudsak via tillämpandet av denna understödsverksamhet är alltså, att det blir en statlig nyndighet, som får avgöra, när entledigande skall ske. Man har redan i detta avseende kunnat skönja vissa försök till missbruk, och det är angeläget, att när man nu här väsentligt, åtminstone principiellt, vidgar gränserna för den statliga understödsverksamheten, man också tillser, att själva grunden, entledigandet, underkastas noggrann statlig kontroll, så att</w:t>
        <w:br/>
        <w:br/>
        <w:t>det inte blir enskildas godtycke, som kommer att bestämma över statsverkets kostnader.</w:t>
        <w:br/>
        <w:br/>
        <w:t>Med dessa ord, herr talman, ber jag att få yrka bifall till utskottets hemställan.</w:t>
      </w:r>
    </w:p>
    <w:p>
      <w:pPr>
        <w:pStyle w:val="Heading2"/>
      </w:pPr>
      <w:r>
        <w:t>3. Olof Bergqvist (Högerns riksdagsgrupp, man)</w:t>
      </w:r>
    </w:p>
    <w:p>
      <w:r>
        <w:rPr>
          <w:b w:val="0"/>
        </w:rPr>
        <w:t xml:space="preserve">Det utlåtande, som föreligger i denna fråga, är resultatet av en kompromiss inom utskottet, och jag hade verkligen tänkt, att vi skulle slippa att diskutera denna fråga i kammaren, när vi ha gått herr Björck till mötes så långt, som vi ha gjort. Jag vet ej, av vilken anledning herr Björck synes ha en sådan motvilja mot att man skall visa billighet mot dessa </w:t>
      </w:r>
      <w:r>
        <w:rPr>
          <w:b/>
        </w:rPr>
        <w:t>lärarinnor³</w:t>
      </w:r>
      <w:r>
        <w:rPr>
          <w:b w:val="0"/>
        </w:rPr>
        <w:t>. Under hela behandlingen i utskottet har herr Björck på allt sätt sökt förmå utskottet att resa svårigheter i vägen för att man skulle på något sätt trygga deras ställning, ifall de bleve utan plats.</w:t>
        <w:br/>
        <w:br/>
        <w:t>Herr Björck har särskilt framhållit, att det skall noga nagelfaras, huruvida vederbörande skolor nedlagts på grund av 1927 års skolreform. Ja, nu ha vi ju också skrivit i utskottets utlåtande, att en sådan noggrann undersökning skall ske, och då hade vi tänkt oss, att ej herr Björck skulle behöva uppträda i kammaren med någon pekpinne åt regeringen, om hur den skall förfara, när den kommer att behandla hithörande frågor. Jag är viss om, att regeringen noggrant prövar denna sak, oavsett om herr Björck ger anvisning om, hur det skall ske eller icke.</w:t>
        <w:br/>
        <w:br/>
        <w:t xml:space="preserve">Jag har ej kunnat underlåta att yttra dessa ord, för att ej herr Björcks uttalande skall få stå oemotsagt i kammarens protokoll. Jag har hela tiden haft den uppfattningen, att liksom man emot </w:t>
      </w:r>
      <w:r>
        <w:rPr>
          <w:b/>
        </w:rPr>
        <w:t>lärarinnorna³</w:t>
      </w:r>
      <w:r>
        <w:rPr>
          <w:b w:val="0"/>
        </w:rPr>
        <w:t xml:space="preserve"> inom alla andra skolformer sökt visa tillmötesgående och skydda dem emot att bli utkastade utan anställning, så bör man också göra det med dessa. Jag har naturligtvis ingenting emot, att det sker en prövning av anledningarna till respektive skolors nedläggande, och ej heller har jag något emot, att man prövar, huruvida avskedanden vid inskränkningar i skolornas verksamhet ske efter rimliga normer. Men jag är övertygad om, att regeringen, oavsett vad herr Björck säger, kommer att underkasta varje särskilt fall en noggrann prövning.</w:t>
        <w:br/>
        <w:br/>
        <w:t>Med dessa ord ber jag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