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1938</w:t>
      </w:r>
    </w:p>
    <w:p>
      <w:r>
        <w:rPr>
          <w:b/>
        </w:rPr>
        <w:t xml:space="preserve">Datum: </w:t>
      </w:r>
      <w:r>
        <w:t>1932-04-30</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Felix Hamrin (Folkpartiet, man)</w:t>
      </w:r>
    </w:p>
    <w:p>
      <w:r>
        <w:rPr>
          <w:b w:val="0"/>
        </w:rPr>
        <w:t>Herr talman! Bankoutskottet har i det nu förevarande betänkandet behandlat 91 framställningar från Kungl. Maj:t rörande pensioner, och beträffande 90 av dem har bankoutskottet tillstyrkt bifall — i fråga om 4 av desamma med några, dock obetydliga ändringar. Beträffande den nu föredragna punkten har emellertid bankoutskottet hemställt om avslag. Det kan förefalla egendomligt, att jag tillstyrkt Kungl. Maj:t att framlägga denna proposition, som ju i stort sett är ett upprepande av en proposition, som avlämnades till förra årets riksdag.</w:t>
        <w:br/>
        <w:br/>
        <w:t xml:space="preserve">Jag ber emellertid att med några ord få angiva anledningen till att jag återkommit med en framställning om pension till </w:t>
      </w:r>
      <w:r>
        <w:rPr>
          <w:b/>
        </w:rPr>
        <w:t>änkan²</w:t>
      </w:r>
      <w:r>
        <w:rPr>
          <w:b w:val="0"/>
        </w:rPr>
        <w:t xml:space="preserve"> Cronström.</w:t>
        <w:br/>
        <w:br/>
        <w:t xml:space="preserve">Det var så förra året, som kammarens ledamöter behagade erinra sig, att det uppstod ganska långa debatter rörande ett par framställningar, som Kungl. Maj:t gjort och som avsågo hjälp åt änkorna efter docenterna Sköld och Söderström. Kungl. Maj:t hade hemställt om bidrag till barnens uppfostran med 384 kronor för vardera av dessa båda änkor. Bankoutskottet hemställde om bifall till Kungl. Maj:ts förslag, men riksdagen beslöt att tillerkänna </w:t>
      </w:r>
      <w:r>
        <w:rPr>
          <w:b/>
        </w:rPr>
        <w:t>änkan²</w:t>
      </w:r>
      <w:r>
        <w:rPr>
          <w:b w:val="0"/>
        </w:rPr>
        <w:t xml:space="preserve"> Sköld och </w:t>
      </w:r>
      <w:r>
        <w:rPr>
          <w:b/>
        </w:rPr>
        <w:t>änkan²</w:t>
      </w:r>
      <w:r>
        <w:rPr>
          <w:b w:val="0"/>
        </w:rPr>
        <w:t xml:space="preserve"> Söderström 600 kronor var, förutom ett uppfostringsbidrag på 384 kronor till änkornas barn. </w:t>
      </w:r>
      <w:r>
        <w:rPr>
          <w:b/>
        </w:rPr>
        <w:t>Änkan²</w:t>
      </w:r>
      <w:r>
        <w:rPr>
          <w:b w:val="0"/>
        </w:rPr>
        <w:t xml:space="preserve"> Cronström fick däremot icke någon pension, utan riksdagen beslöt att avslå Kungl. Maj:ts hemställan i den delen, men tillerkänna jämväl </w:t>
      </w:r>
      <w:r>
        <w:rPr>
          <w:b/>
        </w:rPr>
        <w:t>henne²</w:t>
      </w:r>
      <w:r>
        <w:rPr>
          <w:b w:val="0"/>
        </w:rPr>
        <w:t xml:space="preserve"> 384 kronor som uppfostringsbidrag. Jag har svårt att tänka mig, att detta berodde på annan omständighet än den att frågan om pension åt Cronströms </w:t>
      </w:r>
      <w:r>
        <w:rPr>
          <w:b/>
        </w:rPr>
        <w:t>änka²</w:t>
      </w:r>
      <w:r>
        <w:rPr>
          <w:b w:val="0"/>
        </w:rPr>
        <w:t xml:space="preserve"> av riksdagen behandlades först. Det fanns icke samma personliga intresse för denna </w:t>
      </w:r>
      <w:r>
        <w:rPr>
          <w:b/>
        </w:rPr>
        <w:t>änkas²</w:t>
      </w:r>
      <w:r>
        <w:rPr>
          <w:b w:val="0"/>
        </w:rPr>
        <w:t xml:space="preserve"> ekonomiska förhållanden, som beträffande de andra båda. Jag åhörde den långa debatt, som då fördes, med intresse, och när jag sedan erfor, att man tyckte nog, icke minst i bankoutskottet, att det icke blev en riktig behandling av dessa tre sinsemellan likartade ärenden, har jag i år tillstyrkt Kungl. Maj:t att återkomma, och proposition har också framlagts. Nu har emellertid bankoutskottet hemställt om avslag på Kungl. Maj:ts proposition. Jag förstår ju, att jag icke genom ett anförande kan påverka kammaren att fatta något annat beslut än det, som bankoutskottet hemställt om, men jag har ansett mig pliktig att göra dessa erinringar.</w:t>
        <w:br/>
        <w:br/>
        <w:t xml:space="preserve">Jämför man för övrigt befattningshavarnas ställning och deras tjänstetid så är det alldeles uppenbart, att </w:t>
      </w:r>
      <w:r>
        <w:rPr>
          <w:b/>
        </w:rPr>
        <w:t>änkan²</w:t>
      </w:r>
      <w:r>
        <w:rPr>
          <w:b w:val="0"/>
        </w:rPr>
        <w:t xml:space="preserve"> efter Cronström i första rummet borde ha pension. Av de båda andra änkornas män hade den ene en tjänstetid av 8 år och den andre en tjänstetid av 10 år, medan Cronström hade en tjänstetid av över 18 år, och endast den omständigheten att den tjänst,, han innehade i riksförsäkringsanstalten, stod på extra stat, hade gjort, att han icke långt förut erhållit ordinarie anställning. Hade han innehaft ordinarie anställning, hade ju </w:t>
      </w:r>
      <w:r>
        <w:rPr>
          <w:b/>
        </w:rPr>
        <w:t>änkan²</w:t>
      </w:r>
      <w:r>
        <w:rPr>
          <w:b w:val="0"/>
        </w:rPr>
        <w:t xml:space="preserve"> varit pensionsberättigad. I utskottets korta motivering har också påpekats, att </w:t>
      </w:r>
      <w:r>
        <w:rPr>
          <w:b/>
        </w:rPr>
        <w:t>änkan²</w:t>
      </w:r>
      <w:r>
        <w:rPr>
          <w:b w:val="0"/>
        </w:rPr>
        <w:t xml:space="preserve"> Cronström endast är 36 år gammal och innehar ordinarie befattning som småskollärarinna vid Stockholms stads folkskolor. Ja, det är alldeles riktigt, att några direkt ömmande omständigheter icke föreligga, men jag vill blott erinra om att av de båda andra änkorna är den ena, som har en hög teoretisk utbildning, också </w:t>
      </w:r>
      <w:r>
        <w:rPr>
          <w:b/>
        </w:rPr>
        <w:t>lärarinna³</w:t>
      </w:r>
      <w:r>
        <w:rPr>
          <w:b w:val="0"/>
        </w:rPr>
        <w:t xml:space="preserve"> och har en god inkomst. Såvitt jag förstår är den åtskilligt högre än den, som </w:t>
      </w:r>
      <w:r>
        <w:rPr>
          <w:b/>
        </w:rPr>
        <w:t>änkan²</w:t>
      </w:r>
      <w:r>
        <w:rPr>
          <w:b w:val="0"/>
        </w:rPr>
        <w:t xml:space="preserve"> Cronström har. Behållningen i de tre dödsbona var 6,000, 5.000 och 10,000 kronor. Intetdera av dessa belopp kan ju anses vara så högt, att någon av änkorna kan betraktas som försörjd genom avkastningen på det jämförelsevis blygsamma kapitalet. Jag har ingen anledning riva upp någon strid om detta, men jag tycker, att konsekvensen borde ha krävt, att bankoutskottet gått in för Kungl. Maj:ts framställning, då ju riksdagen förra året fattade de beslut, som jag åberopade beträffande de andra. Riksdagen bör väl ändå icke låta sig påverkas av det sakförhållandet, att vissa personer ha framstående förespråkare bland riksdagsmännen, som, om Jag får använda ett vulgärt uttryck, »lägga sig ut» för dem. Jag upprepar, att mannen till den </w:t>
      </w:r>
      <w:r>
        <w:rPr>
          <w:b/>
        </w:rPr>
        <w:t>änka²</w:t>
      </w:r>
      <w:r>
        <w:rPr>
          <w:b w:val="0"/>
        </w:rPr>
        <w:t>, som det nu är fråga om, hade i det närmaste dubbelt så lång tjänstetid som den av de båda andras män, som hade den längsta tjänstetiden.</w:t>
      </w:r>
    </w:p>
    <w:p>
      <w:pPr>
        <w:pStyle w:val="Heading2"/>
      </w:pPr>
      <w:r>
        <w:t>2. Nils Winkler (–, man)</w:t>
      </w:r>
    </w:p>
    <w:p>
      <w:r>
        <w:rPr>
          <w:b w:val="0"/>
        </w:rPr>
        <w:t>Herr talman! Ehuru finansministern icke framställde något yrkande, skall jag bedja få säga några ord med anledning av hans anförande. Det är mycket sällan, som bankoutskottet icke förordar Kungl. Maj:ts</w:t>
        <w:br/>
        <w:br/>
        <w:t>berett än andra. Alla undersökningar äro gjorda, så att man kan tryggt säga</w:t>
        <w:br/>
        <w:br/>
        <w:t>Cronströms Ja eller nej allt efter den ställning, Kungl. Maj:t intar till frågan. Men i detta</w:t>
        <w:br/>
        <w:br/>
        <w:t xml:space="preserve">fall medger jag, att det är litet inkrånglat. </w:t>
      </w:r>
      <w:r>
        <w:rPr>
          <w:b/>
        </w:rPr>
        <w:t>Fru²</w:t>
      </w:r>
      <w:r>
        <w:rPr>
          <w:b w:val="0"/>
        </w:rPr>
        <w:t xml:space="preserve"> Sköld skulle aldrig haft pension, men </w:t>
      </w:r>
      <w:r>
        <w:rPr>
          <w:b/>
        </w:rPr>
        <w:t>hon²</w:t>
      </w:r>
      <w:r>
        <w:rPr>
          <w:b w:val="0"/>
        </w:rPr>
        <w:t xml:space="preserve"> fick det i förrfjol, om jag icke minns fel, därför att det sattes igång en agitation inom båda kamrarna. Jag minns inte, om det var majoritet för saken i bankoutskottet eller om det var en stor del reservanter. Framställningen om pension till </w:t>
      </w:r>
      <w:r>
        <w:rPr>
          <w:b/>
        </w:rPr>
        <w:t>änkan²</w:t>
      </w:r>
      <w:r>
        <w:rPr>
          <w:b w:val="0"/>
        </w:rPr>
        <w:t xml:space="preserve"> Söderström avslogs, oaktat </w:t>
      </w:r>
      <w:r>
        <w:rPr>
          <w:b/>
        </w:rPr>
        <w:t>hon²</w:t>
      </w:r>
      <w:r>
        <w:rPr>
          <w:b w:val="0"/>
        </w:rPr>
        <w:t xml:space="preserve"> var lika berättigad som </w:t>
      </w:r>
      <w:r>
        <w:rPr>
          <w:b/>
        </w:rPr>
        <w:t>änkan²</w:t>
      </w:r>
      <w:r>
        <w:rPr>
          <w:b w:val="0"/>
        </w:rPr>
        <w:t xml:space="preserve"> Sköld, men jag tror det var året därpå, kom frågan upp på nytt, och man .måste då erkänna, att de båda änkorna voro fullständigt likställda, båda unga och i stånd att försörja sig själva, och båda hade de minderåriga barn. Men det är skillnad mellan Cronströms </w:t>
      </w:r>
      <w:r>
        <w:rPr>
          <w:b/>
        </w:rPr>
        <w:t>änka²</w:t>
      </w:r>
      <w:r>
        <w:rPr>
          <w:b w:val="0"/>
        </w:rPr>
        <w:t xml:space="preserve"> och Söderströms </w:t>
      </w:r>
      <w:r>
        <w:rPr>
          <w:b/>
        </w:rPr>
        <w:t>änka²</w:t>
      </w:r>
      <w:r>
        <w:rPr>
          <w:b w:val="0"/>
        </w:rPr>
        <w:t xml:space="preserve"> däri, att </w:t>
      </w:r>
      <w:r>
        <w:rPr>
          <w:b/>
        </w:rPr>
        <w:t>fru²</w:t>
      </w:r>
      <w:r>
        <w:rPr>
          <w:b w:val="0"/>
        </w:rPr>
        <w:t xml:space="preserve"> Cronström har ordinarie anställning med jämförelsevis god inkomst. Huruvida </w:t>
      </w:r>
      <w:r>
        <w:rPr>
          <w:b/>
        </w:rPr>
        <w:t>fru²</w:t>
      </w:r>
      <w:r>
        <w:rPr>
          <w:b w:val="0"/>
        </w:rPr>
        <w:t xml:space="preserve"> Söderström numera har någon tjänst vet jag icke, men jag vet alldeles bestämt, att vid den tidpunkt, då vi behandlade ärendet i bankoutskottet och riksdagen, hade </w:t>
      </w:r>
      <w:r>
        <w:rPr>
          <w:b/>
        </w:rPr>
        <w:t>hon²</w:t>
      </w:r>
      <w:r>
        <w:rPr>
          <w:b w:val="0"/>
        </w:rPr>
        <w:t xml:space="preserve"> ingen tjänst; det är alldeles säkert. Vi ha emellertid ansett, att, om vi förfarit felaktigt beträffande de två andra änkorna, böra vi icke gå längre på den felaktiga väg, som vi slagit in på vid dessa pensionsärendens behandling. Vi skola icke gå så långt, att även unga änkor, som ha fast anställning med jämförelsevis god inkomst, utöver uppfostringsbidrag för sina barn skola få pension. I något sådant fall har hittills åtminstone icke pension blivit tillstyrkt av bankoutskottet.</w:t>
        <w:br/>
        <w:br/>
        <w:t>Jag har bara velat lämna detta meddelande. Med anledning av att det talats om att vissa personer skulle ha bättre utsikter än andra till framgång i bankoutskottet vågar jag påstå, att det finns ingen, som har bättre utsikter att få bankoutskottet med sig i pensionsärenden än Kungl. Maj:ts regering, det må vara den nu sittande eller en annan, ty Kungl. Maj:ts förslag bruka vi utan vidare taga, och många gånger har i bankoutskottet fällts det yttrandet, att det skall vara mycket starka skäl för att gå emot Kungl. Maj:ts förslag i pensionsärenden.</w:t>
      </w:r>
    </w:p>
    <w:p>
      <w:pPr>
        <w:pStyle w:val="Heading2"/>
      </w:pPr>
      <w:r>
        <w:t>3. Ragnar Lundqvist (Högerns riksdagsgrupp, man)</w:t>
      </w:r>
    </w:p>
    <w:p>
      <w:r>
        <w:rPr>
          <w:b w:val="0"/>
        </w:rPr>
        <w:t xml:space="preserve">Herr talman! Alldeles nyss förklarade vice ordföranden i bankoutskottet, att det är mycket sällan bankoutskottet går emot Kungl. Maj:t i sådana här frågor. Det hände emellertid, som vi hörde, alldeles nyss, och det hände också år 1930, då den dåvarande Kungl. Maj:t lade fram ett förslag om pension åt </w:t>
      </w:r>
      <w:r>
        <w:rPr>
          <w:b/>
        </w:rPr>
        <w:t>änkan²</w:t>
      </w:r>
      <w:r>
        <w:rPr>
          <w:b w:val="0"/>
        </w:rPr>
        <w:t xml:space="preserve"> efter f. d. arbetschefen vid statens järnvägsbyggnader Westerman. Samma framställning har jag tillåtit mig att i år upprepa i en motion. Bankoutskottet avstyrker emellertid i år liksom 1930, naturligtvis av, som det heter, principiella skäl. Jag får ju säga, herr tal-</w:t>
        <w:br/>
        <w:br/>
        <w:t>man, att det är gott och väl med principer, men jag tror, att det är icke enbart av godo att låta principrytteriet drivas alltför långt.</w:t>
        <w:br/>
        <w:br/>
        <w:t xml:space="preserve">Då jag för min del icke kan dela den uppfattning, vartill bankoutskottet kommit, utan, trots de små utsikterna till framgång, ämnar ställa ett yrkande om bifall till motionen, ber jag med ett par ord få redogöra för vad frågan gäller. Arbetschefen Westerman avgick den 31 december 1926 med pension efter en sammanlagd tjänstetid utav 41 år, därav de sista 26—27 åren som arbetschef vid statens järnvägsbyggnader. Av järnvägsstyrelsens eget uttalande framgår, att han hade förrättat ett synnerligen plikttroget och förtjänstfullt arbete i statens tjänst. Han avled den 5 september 1929. Hans efterlämnade </w:t>
      </w:r>
      <w:r>
        <w:rPr>
          <w:b/>
        </w:rPr>
        <w:t>änka²</w:t>
      </w:r>
      <w:r>
        <w:rPr>
          <w:b w:val="0"/>
        </w:rPr>
        <w:t xml:space="preserve">, som i år fyller 60 år, är på grund av sjukdom och allmän svaghet, varav </w:t>
      </w:r>
      <w:r>
        <w:rPr>
          <w:b/>
        </w:rPr>
        <w:t>hon²</w:t>
      </w:r>
      <w:r>
        <w:rPr>
          <w:b w:val="0"/>
        </w:rPr>
        <w:t xml:space="preserve"> för övrigt lidit i många år, enligt olika intyg fullständigt icke blott oförmögen till något som helst arbete, utan även urståndsatt till att överhuvud taget sköta sig själv. Det är också intygat. att det icke finns några anhöriga, som på något sätt kunna taga sig an </w:t>
      </w:r>
      <w:r>
        <w:rPr>
          <w:b/>
        </w:rPr>
        <w:t>henne²</w:t>
      </w:r>
      <w:r>
        <w:rPr>
          <w:b w:val="0"/>
        </w:rPr>
        <w:t>.</w:t>
        <w:br/>
        <w:br/>
        <w:t xml:space="preserve">Jag ber vidare få erinra om, att alla de myndigheter, som på något sätt haft med denna fråga att göra, tillstyrkt pension. Så har järnvägsstyrelsen gjort, så har statskontoret gjort, och så har Kungl. Maj:t av år 1930 gjort. Bankoutskottet är emellertid den ståndaktige tennsoldaten, som icke kan på något sätt ta hänsyn till annat än den principiella ståndpunkt, som utskottet en gång intagit. Till stöd för sitt avstyrkande kan bankoutskottet icke åberopa en enda myndighet. När järnvägsstyrelsen avgav sitt utlåtande, avgavs emellertid en reservation av en byråchef, som icke kunde dela den uppfattning, som hystes av verkets chef och samtliga övriga i beslutet deltagande. Bankoutskottet anser tydligen, att denne ende person haft bättre förmåga att bedöma denna sak än såväl järnvägsstyrelsen i övrigt som statskontoret och Kungl. Maj:t av år 1930. Reservanten inom järnvägsstyrelsen anförde bl. a. till stöd för sitt avstyrkande av framställningen, att Westermans lön hade varit sådan, att den enligt hans förmenande bort räcka till för ett tillfredsställande ordnande av </w:t>
      </w:r>
      <w:r>
        <w:rPr>
          <w:b/>
        </w:rPr>
        <w:t>hustruns²</w:t>
      </w:r>
      <w:r>
        <w:rPr>
          <w:b w:val="0"/>
        </w:rPr>
        <w:t xml:space="preserve"> försörjning efter hans död. Bankoutskottet anser tydligen, att denne reservant ensam av alla förstått att rätt bedöma de möjligheter, som denne f. d. arbetschef haft att sörja för sin efterlevande </w:t>
      </w:r>
      <w:r>
        <w:rPr>
          <w:b/>
        </w:rPr>
        <w:t>hustrus²</w:t>
      </w:r>
      <w:r>
        <w:rPr>
          <w:b w:val="0"/>
        </w:rPr>
        <w:t xml:space="preserve"> framtid. Jag vet icke, vilken ingående kännedom bankoutskottets ärade ledamöter ha haft om denne reservant, eftersom de fäst sådant avgörande avseende vid hans mening härutinnan. Han har numera slutat vid järnvägen. Jag kan upplysa om att han är en gammal ungkarl. Han har själv aldrig varit gift. Men hans omdöme om vilka möjligheter en familjefar har att ordna för sina efterlevandes försörjning fäster bankoutskottet större avseende vid än vid alla de utlåtanden, som avgivits av vederbörande myndigheter! Jag får för min del säga, att jag tycker, att hans förutsättningar att göra ett vägande uttalande på denna punkt äro ganska tvivelaktiga. Det skall bli mig ett mycket stort nöje att få höra vad bankoutskottets representanter komma att kunna genmäla på den punkten.</w:t>
        <w:br/>
        <w:br/>
        <w:t>Nej, herr talman, med all respekt för bankoutskottet, tror jag dock, att i detta fall en något mer allmänmänsklig syn på frågan hade varit på sin plats än den, som kommit till uttryck från bankoutskottets sida.</w:t>
        <w:br/>
        <w:br/>
        <w:t>Huvudanledningen till att jag tagit upp frågan i år igen, trots att den föll 1930, har varit, att riksdagens avvisande hållning då på det livligaste upprört sinnena på många håll: man har tyckt, att det var ett staten ovärdigt sätt att behandla en gammal efterlevande efter en person. som nedlagt ett sådant arbete i statens tjänst, som den, det här är fråga om. Ett ytterligare skäl, varför jag tagit upp frågan, är att, när riksdagen år 1930 tog ställning till Kungl. Maj:ts förslag, så hade man att gå efter en bouppteckning. som visade en icke obetydligt högre behållning än vad som numera befunnits stå till vederböran-</w:t>
        <w:br/>
        <w:br/>
        <w:t xml:space="preserve">des förfogande. </w:t>
      </w:r>
      <w:r>
        <w:rPr>
          <w:b/>
        </w:rPr>
        <w:t>Änkan²</w:t>
      </w:r>
      <w:r>
        <w:rPr>
          <w:b w:val="0"/>
        </w:rPr>
        <w:t xml:space="preserve"> hade icke, sedan affärerna avvecklats och sedan </w:t>
      </w:r>
      <w:r>
        <w:rPr>
          <w:b/>
        </w:rPr>
        <w:t>hon²</w:t>
      </w:r>
      <w:r>
        <w:rPr>
          <w:b w:val="0"/>
        </w:rPr>
        <w:t xml:space="preserve"> kunnat flytta från den gamla bostaden o. s. v., mer än 7,000 kronor kvar i kapital. Det skall </w:t>
      </w:r>
      <w:r>
        <w:rPr>
          <w:b/>
        </w:rPr>
        <w:t>hon²</w:t>
      </w:r>
      <w:r>
        <w:rPr>
          <w:b w:val="0"/>
        </w:rPr>
        <w:t xml:space="preserve"> alltså leva på. Jag måste säga, herr talman, att det kan knappt vara värdigt staten som arbetsgivare att bara för att envist upprätthålla vissa principer följa den linje, som bankoutskottet har tillstyrkt. Fastän det är så ytterst få närvarande i kammaren och fastän det inte finns en enda reservant under betänkandet, kan jag inte underlåta att vädja till de få, som äro närvarande, att icke följa bankoutskottet i detta fall, utan att kammaren måtte bifalla motionen och därmed alltså gå in för den pension, som är tillstyrkt av alla myndigheter, som haft med denna fråga att göra, och som av alla dessa myndigheter också förklarats vara i högsta grad behjärtansvärd. Vi skola spara, det är sant, men jag tror inte, att ett bifall till denna motion på något sätt kan menligt inverka på statens ekonomi. Däremot skulle ett sådant bifall ur olika synpunkter vara en akt, värdig staten såsom arbetsgivare, och därför, herr talman, tillåter jag mig, under varmt vädjande till de närvarande ledamöterna, att yrka bifall till den av mig väckta motionen.</w:t>
      </w:r>
    </w:p>
    <w:p>
      <w:pPr>
        <w:pStyle w:val="Heading2"/>
      </w:pPr>
      <w:r>
        <w:t>4. Nils Winkler (–, man)</w:t>
      </w:r>
    </w:p>
    <w:p>
      <w:r>
        <w:rPr>
          <w:b w:val="0"/>
        </w:rPr>
        <w:t>Herr talman! Jag skall endast i korthet be att få yrka bifall till bankoutskottets hemställan på denna punkt.</w:t>
        <w:br/>
        <w:br/>
        <w:t xml:space="preserve">Det är riktigt, att vi prövat denna fråga förr, och det har till och med förelegat en kungl. proposition i ärendet, vid vars behandling vi gingo mycket noga till botten med frågan. Jag vill dock inte säga, att vi gått så djupt vid vår prövning, att vi underrättat oss om, huruvida en person, som yttrat sig i saken, är gift eller ungkarl. Anledningen till att vi inte ville vara med den gången var, att de högre tjänstemän, som äro anställda vid statens järnvägars byggnadsarbeten och som på grund av sin tjänstgöring flyttas än hit än dit, äro högre avlönade än andra motsvarande tjänstemän vid statens järnvägar, vilket enligt statens järnvägars egen uppgift till bankoutskottet huvudsakligen är beroende på att de icke äro berättigade till någon pension. Att nu här ifrågavarande </w:t>
      </w:r>
      <w:r>
        <w:rPr>
          <w:b/>
        </w:rPr>
        <w:t>änka²</w:t>
      </w:r>
      <w:r>
        <w:rPr>
          <w:b w:val="0"/>
        </w:rPr>
        <w:t xml:space="preserve"> något litet minskat sin förmögenhet, från 11,000 till 7,000 kronor, är inte tillräckligt avgörande för bankoutskottet, ty vi anse, att en sådan tjänsteman, som haft åtminstone 12,000 — om inte det var 15,000 kronor — om året i avlöning, en avlöning som är högre än motsvarande tjänst inom statens Järnvägar för personer, som äro fast placerade och som ha rätt till pension för sina änkor, borde haft möjlighet att på betryggande sätt sörja för sina efterlevande. Detta har varit vägledande för bankoutskottet. Jag tror inte, att vi i detta fall kunna ändra oss, hur varmhjärtat än herr Lundquist i Rotebro hemställer om bifall till sin motion, ty det skulle i så fall bli en helt annan inställning till de tjänstemän, som äro anställda vid statens järnvägsbyggnader.</w:t>
        <w:br/>
        <w:br/>
        <w:t>Jag hemställer därför, att kammaren måtte bifalla bankoutskottets yrkande även på denna punkt.</w:t>
      </w:r>
    </w:p>
    <w:p>
      <w:pPr>
        <w:pStyle w:val="Heading2"/>
      </w:pPr>
      <w:r>
        <w:t>5. Ragnar Lundqvist (Högerns riksdagsgrupp, man)</w:t>
      </w:r>
    </w:p>
    <w:p>
      <w:r>
        <w:rPr>
          <w:b w:val="0"/>
        </w:rPr>
        <w:t>Herr talman! Jag tror, att även de myndigheter, som haft med denna fråga att göra, ha sina principer och att de inte gärna gå ifrån dem. Jag tror, att bankoutskottets ärade vice ordförande kan vitsorda det. Men detta har inte hindrat, att såväl järnvägsstyrelsen, statskontoret som Kungl. Maj:t ansett, att här föreligga så ömmande omständigheter, att principerna måste träda tillbaka.</w:t>
        <w:br/>
        <w:br/>
        <w:t xml:space="preserve">Det är riktigt, som herr Winkler säger, att dessa tjänstemän vid statens järnvägsbyggnader ha högre lön än motsvarande tjänstemän vid statens trafikerade järnvägar bland annat därför att de icke kunna komma in i </w:t>
      </w:r>
      <w:r>
        <w:rPr>
          <w:b/>
        </w:rPr>
        <w:t>änkeoch²</w:t>
      </w:r>
      <w:r>
        <w:rPr>
          <w:b w:val="0"/>
        </w:rPr>
        <w:t xml:space="preserve"> pupillkassan och på den vägen sörja för sina efterlevande. Men det är ju också ett faktum, att åtminstone de, som ha sitt arbete förlagt vid de olika järnvägsbyggnadsarbetena ute i landet, få, såsom herr Winkler sade, flytta än hit och</w:t>
        <w:br/>
        <w:br/>
        <w:t>än dit, och att därför deras levnadskostnader bli väsentligt högre än de befatt- 4ng. ifråga-</w:t>
        <w:br/>
        <w:br/>
        <w:t>ningshavares, som ha en fast anställning på viss plats. I detta fall tillkommer, , oofbärtig.</w:t>
        <w:br/>
        <w:br/>
        <w:t xml:space="preserve">såsom järnvägsstyrelsen framhållit, att den nuvarande </w:t>
      </w:r>
      <w:r>
        <w:rPr>
          <w:b/>
        </w:rPr>
        <w:t>änkan²</w:t>
      </w:r>
      <w:r>
        <w:rPr>
          <w:b w:val="0"/>
        </w:rPr>
        <w:t xml:space="preserve"> under många år förre arbets-</w:t>
        <w:br/>
        <w:br/>
        <w:t>varit sjuklig och därför måst vistas borta och faktiskt alltså dragit stora extra chefen C. L.</w:t>
        <w:br/>
        <w:br/>
        <w:t>kostnader. Det är vitsordat, att mannan ifråga alltid fört ett synnerligen spar- Westermans</w:t>
        <w:br/>
        <w:br/>
        <w:t>samt och tillbakadraget liv och alltså inte kan lastas för att han inte bättre — Äta</w:t>
        <w:br/>
        <w:br/>
        <w:t>sörjt än han gjort för de efterlevande. (Fort) Då man har dessa faktiska förhållanden så tydligt klarlagda av de myndig-</w:t>
        <w:br/>
        <w:br/>
        <w:t>heter, som närmast bära ansvaret, förefaller det mig, herr talman, som om det</w:t>
        <w:br/>
        <w:br/>
        <w:t>icke skulle vara någon risk, ifall riksdagen skulle sätta större tilltro till vad</w:t>
        <w:br/>
        <w:br/>
        <w:t>dessa myndigheter sagt än till bankoutskottet, som endast envist fasthåller vid</w:t>
        <w:br/>
        <w:br/>
        <w:t>den en gång intagna principiella ståndpunkten och varnar för konsekvenser,</w:t>
        <w:br/>
        <w:br/>
        <w:t>som man 1 detta fall icke kan behöva räkna med.</w:t>
        <w:br/>
        <w:br/>
        <w:t>göring skulle inräknas.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1938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