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1973</w:t>
      </w:r>
    </w:p>
    <w:p>
      <w:r>
        <w:rPr>
          <w:b/>
        </w:rPr>
        <w:t xml:space="preserve">Datum: </w:t>
      </w:r>
      <w:r>
        <w:t>1933-04-03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Östen Unden (Socialdemokraterna, man)</w:t>
      </w:r>
    </w:p>
    <w:p>
      <w:r>
        <w:rPr>
          <w:b w:val="0"/>
        </w:rPr>
        <w:t>Herr talman! Då justitieministern är upptagen av överläggningarna i första kammaren, skall jag tillåta mig att i hans ställe yttra några ord, när kammaren nu går att behandla föreliggande utskottsutlåtande rörande lag om boutredning och arvskifte.</w:t>
        <w:br/>
        <w:br/>
        <w:t>Lagförslaget gäller ju ett ämne, som icke är ägnat att sätta lidelserna i svallning eller att ens framkalla några mera djupgående meningsskiljaktigheter. Icke desto mindre är det av ganska stor betydelse för avsevärda delar av befolkningen, och det är av vikt, att de förhållanden, som regleras däri, ordnas på ett ändamålsenligt och praktiskt sätt.</w:t>
        <w:br/>
        <w:br/>
        <w:t>Förslaget förtjänar emellertid att ett ögonblick uppmärksammas även ur en allmännare synpunkt. Det utgör nämligen det sista ledet i en mångårig revision av de familjerättsliga delarna av 1734 års lag, en revision, som genomförts systematiskt alltifrån år 1915, då det första steget togs i sådan riktning. Sistnämnda år kom som bekant första delen av giftermålsbalken. Denna lag följdes år 1918 av lag om utomäktenskapliga barn m. m. År 1920 kom återstoden av giftermålsbalken, 1924 antogs förmynderskapslagen, 1928 arvslagen, 1930 testamentslagen, och nu föreligger slutligen förslag till lag om boutredning och arvskifte. Härmed är hela det område, som täckes av giftermålsbalken och ärvdabalken i 1734 års lag, färdigbehandlat i materiellt avseende. Vad som ytterligare kan återstå är eventuellt ett formellt samarbete av de särskilda lagarna och vissa ändringar rörande övergångsbestämmelserna 1 giftermålsbalken.</w:t>
        <w:br/>
        <w:br/>
        <w:t xml:space="preserve">Om hela detta nya, familjerättsliga lagverk tror jag det kan med fog sägas, att det utgestaltats under behörigt hänsynstagande till våra sedvänjor och till vår rättsuppfattning, och att man tillika tagit tillbörlig hänsyn till utländska förebilder, i den mån sådana synts vara av intresse för oss. Lagarna äro otvivelaktigt präglade av en human anda och äro utarbetade på ett i lagtekniskt avseende skickligt sätt. Man har alltså all anledning att värdesätta den moderna svenska familjerättslagstiftningen synnerligen högt. Av större social betydelse är väl framför allt det parti av ifrågavarande lagar, som gäller gift </w:t>
      </w:r>
      <w:r>
        <w:rPr>
          <w:b/>
        </w:rPr>
        <w:t>kvinnas¹</w:t>
      </w:r>
      <w:r>
        <w:rPr>
          <w:b w:val="0"/>
        </w:rPr>
        <w:t xml:space="preserve"> ställning, och vidare den del som rör de utomäktenskapliga barnens rättsställning.</w:t>
        <w:br/>
        <w:br/>
        <w:t>Särskilt glädjande har det varit, att stora delar av denna lagstiftning kunnat utarbetas under samförstånd med de övriga nordiska länderna, vadan resultatet blivit, att det föreligger i stor utsträckning gemensamma lagbestämmelser i samtliga nordiska länder. Denna gemensamhet gäller dock endast partiellt beträffande det nu föreliggande förslaget om boutredning och arvskifte. Därvidlag har på grund av ämnets natur endast med Finland ett närmare direkt samarbete ägt rum.</w:t>
        <w:br/>
        <w:br/>
        <w:t>Lagförslaget har av första lagutskottet behandlats med synnerligen stor välvilja, och endast i några detaljpunkter ha jämkningar av utskottet föreslagits. Dessa jämkningar föranleda icke några erinringar från regeringens sida. Det är endast på två punkter, som meningsskiljaktigheter förekommit inom utskottet. De avse ganska speciella frågor och torde alltså icke sätta i fara framgången för lagförslaget i dess helhet.</w:t>
        <w:br/>
        <w:br/>
        <w:t>Jag tillåter mig att å regeringens vägnar anbefalla kammaren förslaget till godkännande.</w:t>
      </w:r>
    </w:p>
    <w:p>
      <w:pPr>
        <w:pStyle w:val="Heading2"/>
      </w:pPr>
      <w:r>
        <w:t>2. Edvard Lithander (Lantmanna- och borgarepartiet inom andrakammaren, man)</w:t>
      </w:r>
    </w:p>
    <w:p>
      <w:r>
        <w:rPr>
          <w:b w:val="0"/>
        </w:rPr>
        <w:t>Herr talman! Det förefaller mig, som om man här lagt fram ett förslag, som onödigt ingriper i folks förhållanden. Vad som årligen kommer fram till beskattning, böra människorna ha rätt att förfoga över något så när som de tycka inom de gränser lagen föreskriver, och den mer än nödigt ingående efterprövning, som skall ske vid dödsbo, synes mig icke lämplig. Jag skulle för min del helst, herr talman, ha velat yrka avslag på det hela. Det förefaller mig emellertid, som om detta vore skäligen hopplöst. Jag hoppas dock, att kammaren kommer att stanna åtminstone vid de reservationer, som äro avgivna av herr Anderson i Hägelåkra och herr Johanson i Huskvarna.</w:t>
        <w:br/>
        <w:br/>
        <w:t>Är efter den döde testamente eller, om han var gift, äktenskapsförord angående förmögenhetsordningen, skall det intagas i bouppteckningen eller därvid fogas såsom bilaga i bestyrkt avskrift.</w:t>
        <w:br/>
        <w:br/>
        <w:t>Bouppteckningen skall jämväl innehålla uppgift om sådan den döde tillhörig livförsäkring, som, enär förmånstagare är insatt, ej ingår i kvarlåtenskapen.</w:t>
        <w:br/>
        <w:br/>
        <w:t>är bland delägarna laglottsberättigad arvinge, skall i bouppteckningen uppgift lämnas om vad arvinge eller hans avkomling av den döde mottagit i förskott eller eljest såsom gåva, så ock om gåva, som efterlevande maken, dennes avkomling eller universell testamentstagare mottagit av den döde; och skall tillika uppgivas vad arvinge i förskott bekommit av efterlevande makens giftorättsgods. Vad nu är sagt skall ej gälla, där fråga är om sedvanliga skänker, vilkas värde icke står i missförhållande till givarens villkor.</w:t>
      </w:r>
    </w:p>
    <w:p>
      <w:pPr>
        <w:pStyle w:val="Heading2"/>
      </w:pPr>
      <w:r>
        <w:t>3. Oscar Johanson (Folkpartiet, man)</w:t>
      </w:r>
    </w:p>
    <w:p>
      <w:r>
        <w:rPr>
          <w:b w:val="0"/>
        </w:rPr>
        <w:t>Herr talman! Den föreslagna lagen ansluter sig i stor utsträckning till gällande rätt, men det förekommer dock rätt många nyheter i densamma. Inför dessa nyheter har jag i mångt och mycket stått tvekande. Jag hade helst velat instämma i det uttalande, som gjordes här nyss om att man kunde varit frestad att gå på avslag helt och hållet, men då ett sådant yrkande icke har utsikt att vinna gehör, har jag inskränkt mig till att tillsammans med herr Anderson i Hägelåkra foga en reservation vid förevarande paragraf.</w:t>
        <w:br/>
        <w:br/>
        <w:t>En av nyheterna i lagen gäller vad som skall tagas upp i bouppteckning såsom tillgångar. Hädanefter skall man — enligt den föreslagna lagen — upptaga såsom tillgång i boet gåvor och förskott, som utbetalats av den avlidne under hans livstid till arvsberättigade släktingar. För vår del ha vi ingenting emot, att sådana gåvor upptagas, som överhuvud taget böra bli föremål för beskattning, men vi anse dock, att man gått för långt. Vi ha därför icke velat vara med därom och detta av åtskilliga skäl.</w:t>
        <w:br/>
        <w:br/>
        <w:t>Ett av de skäl, som för mig varit avgörande, är det, att det kan vara rätt svårt för den som enligt lagen är skyldig att uppgiva boet att kunna lämna tillfredsställande uppgifter om de gåvor och förskott, som lämnats. Den som sitter i boet och har det om hand är skyldig att lämna sådan uppgift. Då är att märka, att denna 5 $ är tvingande för vederbörande. Sådana tvingande bestämmelser förekomma, annars il mycket ringa utsträckning i lagen — och i övrigt icke i detta kapitel — utan delägarna få välja det sätt och den form de helst önska. Lagen angiver visserligen vägen och formen, men delägarna i boet ha sedan frihet att välja den form för förvaltning och boutredning, som de vilja ha. Härvidlag är det emellertid annorlunda, och det lan särskilt på landsbygden bli ganska svårt för den som är i den ställningen, att han under edlig förpliktelse skall uppgiva boet, att göra detta på ett tillfredsställande sätt. När det gäller städerna och de förmögnare hemmen, är det väl i allmänhet så, att det finns bokföring och handlingar, som visa vad som betalts ut i förskott och gåvor till arvingarna. På landsbygden däremot är det icke på det sättet.</w:t>
        <w:br/>
        <w:br/>
        <w:t xml:space="preserve">Jag skall taga ett exempel. En man med en jämförelsevis god ställning anser sig ha råd att hjälpa sina fattiga släktingar, som äro i behov därav. Hjälpen sker i form av såväl kontanter som naturaförmåner. Han har syskon. En </w:t>
      </w:r>
      <w:r>
        <w:rPr>
          <w:b/>
        </w:rPr>
        <w:t>syster²</w:t>
      </w:r>
      <w:r>
        <w:rPr>
          <w:b w:val="0"/>
        </w:rPr>
        <w:t xml:space="preserve"> är död men har efterlämnat barn, och mannen önskar hjälpa barnen, när de skola börja sin verksamhet. Han skänker dem kanske utsäde till det jordbruk de skola börja, eller han ger dem en ko, en häst eller dylikt. Detta skänker han dem med varm hand, och han har sin glädje i att hjälpa dem. Men icke blir den saken så noga bokförd. Den som nu sitter i boet efter denne man — det är möjligt, att det icke är någon närstående arvinge, utan det kan vara t. ex. en trotjänarinna, som närmast har hand om boet och är skyldig att under edlig förpliktelse uppgiva det — har en aning om, att mannen hjälpt vederbörande på detta sätt, men det hela är rätt dunkelt, och det är svårt för </w:t>
      </w:r>
      <w:r>
        <w:rPr>
          <w:b/>
        </w:rPr>
        <w:t>henne²</w:t>
      </w:r>
      <w:r>
        <w:rPr>
          <w:b w:val="0"/>
        </w:rPr>
        <w:t xml:space="preserve"> att bestämt uppgiva, att så och så förhåller det sig. Eller ett annat exempel. En person har hjälpt en anhörig med en biljett till Amerika. Denne dör och lämnar barn efter sig i Amerika såsom arvingar i boet. Arvingarna ha kanske en aning om att fadern fått hjälp av sin far, men de ha icke riktigt klart, hur mycket det var.</w:t>
        <w:br/>
        <w:br/>
        <w:t>Det kan därför uppstå svårigheter i många fall, varför vi velat begränsa den obligatoriska uppgiftsskyldigheten till de fall, då någon av bodelägarna begär dylik uppgift. Om arvingarna tro sig veta, att det under den avlidnes</w:t>
        <w:br/>
        <w:br/>
        <w:t>Utskottets förslag åter innehåller tvingande bestämmelser i detta fall, och gåvor och förskott måste uppgivas såsom tillgångar i bouppteckningen. Jag fruktar, att i all synnerhet när det gäller den rena landsbygden, där gåvorna och förskotten ha så säregen karaktär, många personer vid dylika tillfällen måste komma att gå ifrån en bouppteckning med den känslan, att de varit lagbrytare. De ha icke kunnat uppfylla lagens krav och angiva t. ex. värdet på de gåvor in natura, som givits bort. Jag tror därför, att det vore till fördel för saken i dess helhet, om tredje stycket i 5 $ finge den form, som vi angivit i vår reservation, och om alltså uppgiftsskyldigheten begränsades till de fall, då någon av bodelägarna begär eller fordrar sådan uppgift. I så fall ligger ju vägen klar, och man får handla efter vad lagen 1 det hänseendet föreskriver. Enligt vårt förslag föreligga icke tvingande bestämmelser, utan vederbörande få besluta, som de anse limpligast i den situation, som råder.</w:t>
        <w:br/>
        <w:br/>
        <w:t>Jag ber, herr talman, att med det sagda få yrka bifall till 5 S tredje stycket i den form, som angives i den reservation, som ir avgiven av herr Anderson i Hägelåkra och mig.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