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731</w:t>
      </w:r>
    </w:p>
    <w:p>
      <w:r>
        <w:rPr>
          <w:b/>
        </w:rPr>
        <w:t xml:space="preserve">Datum: </w:t>
      </w:r>
      <w:r>
        <w:t>1933-05-26</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Hjalmar Hammarskjöld (Utan partibeteckning, man)</w:t>
      </w:r>
    </w:p>
    <w:p>
      <w:r>
        <w:rPr>
          <w:b w:val="0"/>
        </w:rPr>
        <w:t>Herr talman! Jag tror, att herr Lindley är alldeles för optimistisk, då herr Lindley anser, att tusentals människor äro lika förtjänta av det allmännas erkänsla som den nu ifrågavarande personen.</w:t>
        <w:br/>
        <w:br/>
        <w:t xml:space="preserve">Jag tror för min del, att den som har någon kännedom om och någon uppfattning av betydelsen av </w:t>
      </w:r>
      <w:r>
        <w:rPr>
          <w:b/>
        </w:rPr>
        <w:t>hennes²</w:t>
      </w:r>
      <w:r>
        <w:rPr>
          <w:b w:val="0"/>
        </w:rPr>
        <w:t xml:space="preserve"> verksamhet, måste säga sig, att denna är något så gott som enastående. Det har nu här talats om, att anstalten borde ha bekostat denna pensionering. Jag återkommer till vad jag förut sagt, att anstalten har varit i hög grad identisk med </w:t>
      </w:r>
      <w:r>
        <w:rPr>
          <w:b/>
        </w:rPr>
        <w:t>henne²</w:t>
      </w:r>
      <w:r>
        <w:rPr>
          <w:b w:val="0"/>
        </w:rPr>
        <w:t xml:space="preserve">, och det skall väl icke läggas </w:t>
      </w:r>
      <w:r>
        <w:rPr>
          <w:b/>
        </w:rPr>
        <w:t>henne²</w:t>
      </w:r>
      <w:r>
        <w:rPr>
          <w:b w:val="0"/>
        </w:rPr>
        <w:t xml:space="preserve"> till last, att </w:t>
      </w:r>
      <w:r>
        <w:rPr>
          <w:b/>
        </w:rPr>
        <w:t>hon²</w:t>
      </w:r>
      <w:r>
        <w:rPr>
          <w:b w:val="0"/>
        </w:rPr>
        <w:t xml:space="preserve"> av oegennyttiga skäl icke låtit använda anstaltens medel härtill. Det har vidare här i debatten åberopats, att det har utgått statsanslag till skolan, men det kan väl ändå inte ha varit förborgat för utskottet</w:t>
        <w:br/>
        <w:br/>
        <w:t xml:space="preserve">Jag upprepar, att detta icke kan vara något farligt fall, det är i högsta grad jämförligt med fallet Rösiö, vilken ju också var en sådan folkuppfostrare på sitt område som </w:t>
      </w:r>
      <w:r>
        <w:rPr>
          <w:b/>
        </w:rPr>
        <w:t>fröken²</w:t>
      </w:r>
      <w:r>
        <w:rPr>
          <w:b w:val="0"/>
        </w:rPr>
        <w:t xml:space="preserve"> Norrby varit på sitt, och jag finner för min del, att riksdagen och speciellt dess första kammare borde med glädje begagna tillfället att belöna en så förtjänstfull verksamhet, om nu denna belöning skall betraktas såsom nationalbelöning och icke såsom pension.</w:t>
        <w:br/>
        <w:br/>
        <w:t>Herr vice talman! Jag vidhåller i varje fall mitt yrkande om bifall till reservationen.</w:t>
      </w:r>
    </w:p>
    <w:p>
      <w:pPr>
        <w:pStyle w:val="Heading2"/>
      </w:pPr>
      <w:r>
        <w:t>2. Charles Lindley (Socialdemokraterna, man)</w:t>
      </w:r>
    </w:p>
    <w:p>
      <w:r>
        <w:rPr>
          <w:b w:val="0"/>
        </w:rPr>
        <w:t xml:space="preserve">Jag vill bara fästa uppmärksamheten vid det förhållandet, att om vi skulle bifalla detta förslag, skulle vi begå en oerhörd oförrätt gentemot </w:t>
      </w:r>
      <w:r>
        <w:rPr>
          <w:b/>
        </w:rPr>
        <w:t>fröken²</w:t>
      </w:r>
      <w:r>
        <w:rPr>
          <w:b w:val="0"/>
        </w:rPr>
        <w:t xml:space="preserve"> Anna Sandström, som inte fick någon pension beviljad av riksdagen. </w:t>
      </w:r>
      <w:r>
        <w:rPr>
          <w:b/>
        </w:rPr>
        <w:t>Hon²</w:t>
      </w:r>
      <w:r>
        <w:rPr>
          <w:b w:val="0"/>
        </w:rPr>
        <w:t xml:space="preserve"> hade gjort en lika stor gärning som </w:t>
      </w:r>
      <w:r>
        <w:rPr>
          <w:b/>
        </w:rPr>
        <w:t>fröken²</w:t>
      </w:r>
      <w:r>
        <w:rPr>
          <w:b w:val="0"/>
        </w:rPr>
        <w:t xml:space="preserve"> Norrby. Ja, det finns folk här, som vilja framhålla </w:t>
      </w:r>
      <w:r>
        <w:rPr>
          <w:b/>
        </w:rPr>
        <w:t>fröken²</w:t>
      </w:r>
      <w:r>
        <w:rPr>
          <w:b w:val="0"/>
        </w:rPr>
        <w:t xml:space="preserve"> Sandströms gärning på skolornas område som en av de förnämsta gärningar, som har utförts av någon </w:t>
      </w:r>
      <w:r>
        <w:rPr>
          <w:b/>
        </w:rPr>
        <w:t>kvinna¹</w:t>
      </w:r>
      <w:r>
        <w:rPr>
          <w:b w:val="0"/>
        </w:rPr>
        <w:t xml:space="preserve">. Men likväl avslogo vi en begäran om pension åt </w:t>
      </w:r>
      <w:r>
        <w:rPr>
          <w:b/>
        </w:rPr>
        <w:t>henne²</w:t>
      </w:r>
      <w:r>
        <w:rPr>
          <w:b w:val="0"/>
        </w:rPr>
        <w:t>.</w:t>
        <w:br/>
        <w:br/>
        <w:t>Jag vidhåller mitt yrkande, herr talman.</w:t>
      </w:r>
    </w:p>
    <w:p>
      <w:pPr>
        <w:pStyle w:val="Heading2"/>
      </w:pPr>
      <w:r>
        <w:t>3. Carl Forssell (–, man)</w:t>
      </w:r>
    </w:p>
    <w:p>
      <w:r>
        <w:rPr>
          <w:b w:val="0"/>
        </w:rPr>
        <w:t xml:space="preserve">Det har av herr Hammarskjöld sagts, att vi inte skulle bestraffa </w:t>
      </w:r>
      <w:r>
        <w:rPr>
          <w:b/>
        </w:rPr>
        <w:t>fröken²</w:t>
      </w:r>
      <w:r>
        <w:rPr>
          <w:b w:val="0"/>
        </w:rPr>
        <w:t xml:space="preserve"> Norrby, på den grund att </w:t>
      </w:r>
      <w:r>
        <w:rPr>
          <w:b/>
        </w:rPr>
        <w:t>hon²</w:t>
      </w:r>
      <w:r>
        <w:rPr>
          <w:b w:val="0"/>
        </w:rPr>
        <w:t xml:space="preserve"> varit generös gentemot sin anstalt. Det är inte på något sätt vår mening. Man kan emellertid vända på saken och säga, att när det ur handlingarna framgår, att </w:t>
      </w:r>
      <w:r>
        <w:rPr>
          <w:b/>
        </w:rPr>
        <w:t>fröken²</w:t>
      </w:r>
      <w:r>
        <w:rPr>
          <w:b w:val="0"/>
        </w:rPr>
        <w:t xml:space="preserve"> Norrby har på sin privata verksamhet såsom författarinna förtjänat så pass stora summor, att </w:t>
      </w:r>
      <w:r>
        <w:rPr>
          <w:b/>
        </w:rPr>
        <w:t>hon²</w:t>
      </w:r>
      <w:r>
        <w:rPr>
          <w:b w:val="0"/>
        </w:rPr>
        <w:t xml:space="preserve"> kunnat till sin anstalt donera 190,000 kronor, kan man ha skäl att begära, att denna anstalt skall ha råd att offra 11,000 kronor, vilket enligt handlingarna var den summa, som behövdes i engångsavgift, för att </w:t>
      </w:r>
      <w:r>
        <w:rPr>
          <w:b/>
        </w:rPr>
        <w:t>fröken²</w:t>
      </w:r>
      <w:r>
        <w:rPr>
          <w:b w:val="0"/>
        </w:rPr>
        <w:t xml:space="preserve"> Norrby skulle komma med i en statlig pensionsanstalt. Det förhåller sig således inte så, att </w:t>
      </w:r>
      <w:r>
        <w:rPr>
          <w:b/>
        </w:rPr>
        <w:t>fröken²</w:t>
      </w:r>
      <w:r>
        <w:rPr>
          <w:b w:val="0"/>
        </w:rPr>
        <w:t xml:space="preserve"> Norrbys medel och anstaltens medel varit identiska. Det har faktiskt varit så, att </w:t>
      </w:r>
      <w:r>
        <w:rPr>
          <w:b/>
        </w:rPr>
        <w:t>hon²</w:t>
      </w:r>
      <w:r>
        <w:rPr>
          <w:b w:val="0"/>
        </w:rPr>
        <w:t xml:space="preserve"> har donerat av sina egna medel till anstalten. </w:t>
      </w:r>
      <w:r>
        <w:rPr>
          <w:b/>
        </w:rPr>
        <w:t>Hon²</w:t>
      </w:r>
      <w:r>
        <w:rPr>
          <w:b w:val="0"/>
        </w:rPr>
        <w:t xml:space="preserve"> har varit anstaltens föreståndarinna och gjort ett utmärkt arbete på den platsen. Har man då inte rätt att begära, att anstalten skall pensionera </w:t>
      </w:r>
      <w:r>
        <w:rPr>
          <w:b/>
        </w:rPr>
        <w:t>henne²</w:t>
      </w:r>
      <w:r>
        <w:rPr>
          <w:b w:val="0"/>
        </w:rPr>
        <w:t xml:space="preserve">? I detta fall är det en väsentlig skillnad mellan den position </w:t>
      </w:r>
      <w:r>
        <w:rPr>
          <w:b/>
        </w:rPr>
        <w:t>fru²</w:t>
      </w:r>
      <w:r>
        <w:rPr>
          <w:b w:val="0"/>
        </w:rPr>
        <w:t xml:space="preserve"> Norrby intager och den, som Rösio eller konstnären Forsberg hade. De voro inte ens anställda vid någon anstalt, som av dem fått några sådana ekonomiska förmåner. Här föreligger således en situation, som åtminstone förbjuder mig att rösta för att staten skulle träda emellan och befria anstalten från dess skyldighet mot sin gamla, högt förtjänta föreståndarinna.</w:t>
        <w:br/>
        <w:br/>
        <w:t>Jag vill därför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731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