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1999</w:t>
      </w:r>
    </w:p>
    <w:p>
      <w:r>
        <w:rPr>
          <w:b/>
        </w:rPr>
        <w:t xml:space="preserve">Datum: </w:t>
      </w:r>
      <w:r>
        <w:t>1934-04-28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Algot Törnkvist (Socialdemokraterna, man)</w:t>
      </w:r>
    </w:p>
    <w:p>
      <w:r>
        <w:rPr>
          <w:b w:val="0"/>
        </w:rPr>
        <w:t>Herr talman! Utav den siste ärade talarens framställning i början av hans anförande kunde man lätt bli bibringad den uppfattningen, att utskottet behandlat detta ärende utifrån synpunkter, som närmast liknade oviljans. Så är emellertid ingalunda fallet. Statsutskottet har med mycket allvar och med mycken omsikt i fråga om konsekvenserna samt nyttan av ett beslut verkligen så allvarligt och — jag vill säga — vänskapsfullt åt alla håll sökt komma till en rimlig och hållbar ståndpunkt, att någon hätsk ton emot utskottet i detta fall är alldeles obefogad.</w:t>
        <w:br/>
        <w:br/>
        <w:t>Jag vill säga, att tvistigheterna icke ha varit så framträdande i utskottet, ty utskottets ledamöter ha behärskats av känslan av att detta ärende bör avgöras så långt möjligt är i enighetens tecken. Det var också denna känsla, som gjorde att icke en mycket stor del av utskottets ledamöter presenterade en reservation 1 överensstämmelse med Kungl. Maj:ts förslag. Det bör vara tilllåtet att inför kammaren avslöja, att när ärendet kom till statsutskottet ifrån avdelningen, så förelåg en sådan reservation, och att denna reservation var lika manstark som de två övriga meningarna tillsammans. Utskottet har alltså i allra högsta grad eftersträvat enighet i denna fråga; detta icke minst med tanke på och med vetskap om de svårigheter, som olika partiers regeringar under de sista tolv åren haft att kämpa med vid behandlingen av detta ärende.</w:t>
        <w:br/>
        <w:br/>
        <w:t>Ett så enigt ståndpunktstagande som möjligt från riksdagens sida, vare sig på den ena eller andra grunden, hade förvisso varit utav utomordentligt värde för ett framtida bedömande av detta spörsmål. När nu denna enighet icke kunnat uppnås, trots att statsutskottet gjort en verkligt aktningsvärd ansträngning i den riktningen, måste jag anse det nödvändigt att utveckla de skäl för statsutskottets ståndpunkt, som jag nu är bunden till. Jag måste därvid söka, så gott jag kan, utveckla skäl, som till sitt ursprung måste sökas på annat håll än inom ramen för mina egna ursprungliga meningar.</w:t>
        <w:br/>
        <w:br/>
        <w:t>Emellertid torde man inom utskottet icke ens bland dem, som ha anmält avvikande meningar, kunna uppleta några meningsskiljaktigheter ifråga om vad utskottet säger på sid. 7 i sitt utlåtande, då utskottet som sin åsikt uttalar, att staten icke kan anses ha någon på rättslig grund vilande skyldighet att ersätta rysslandssvenskarna de förluster, som i samband med omvälvningen 1 Ryssland drabbat dem. Om den synpunkten var utskottet fullkomligt enigt, och, mina herrar, en avvikande mening på den punkten eller en mening av motsatt innehåll skulle leda oss ut på sådana vägar, att jag är förvissad om, att ingen av dem, som här instämde med den föregående talaren, ens skulle våga att vandra dessa vägar. Skulle man erkänna skyldigheten för staten att ersätta de förluster, som uppstått för svenskar, som bodde i Ryssland i samband med den samhälleliga omvälvningen där, ja, då förefaller det verkligen som om herrarna ha ansett en ersättning på 1 miljon eller 2 miljoner kronor vara en synnerligen aktningsvärd summa och en stor summa. Men det är den verkligen icke. Det skulle bli fråga om avsevärt större belopp, om man med erkän-</w:t>
        <w:br/>
        <w:br/>
        <w:t>När utskottet sålunda gick in för ersättning, uppstod frågan om vilka synpunkter staten i detta fall kunde ha att beakta. Uppenbarligen kunde det svenska samhället icke slå dövörat till för de framställningar om hjälp, som självfallet måste komma ifrån dessa människor, som berövats sina existensgrunder genom händelserna ute i Ryssland och för sin fortsatta existens nödgades resa därifrån och söka sig till sitt gamla hemland, där de icke hade någon rot och icke något fäste. Erfarenheterna hittills ha ju också visat och bestyrkt att sådana framställningar ha kommit.</w:t>
        <w:br/>
        <w:br/>
        <w:t>Utskottet meddelar och det meddelas också i Kungl. Maj:ts förslag, att av statsoch lotterimedel hittills anvisats sammanlagt i runt tal 1.7 miljoner kronor för hjälp åt beträngda och nödlidande rysslandssvenskar. Utskottet resonerade vidare på det sättet, att, om av dessa 3 eller närmare 4 miljoner kronor man toge ut 1 miljon och delade ut den, det kanske rent av icke funnes den ringaste sannolikhet för att den utdelningen komme att ske på sådant sätt, att pengarna komme till den nytta från försörjningssynpunkt, som de borde komma till, och att staten, så länge som det finns nödlidande rysslandssvenskar 1 Sverige, för visso kommer att få nya framställningar och nödgas anvisa ökade anslag. Gottgörelsen, mina herrar, kan icke, om den sker med 1 eller med 2 miljoner kronor, borttaga statens skyldighet att även sedan dessa medel äro utdelade, om nöd råder bland rysslandssvenskarna, genom anvisning av ytterligare medel tillgodose anspråk på en rimlig försörjning inom Sverige, så länge de finnas här. Ja, då kan man ju mycket väl säga, att de kunna hänvisas till fattigvården. Utskottet har icke velat resonera på det sättet utan har resonerat som så, att det bästa är att säkerställa deras framtida existens, deras omedelbara livsbehov med att fondera en tillräcklig summa utav de tillgängliga medlen, varigenom under år framåt, så länge det är behövligt, de och deras anhöriga skola nödtorftigt försörjas. Jag vill här tilllägga, att inom utskottet voro vi icke alls främmande för den tanken, att om erfarenheten under första eller andra året skulle visa, att ett rimligt understöd skulle tarva en utökning av denna fond, statsmakterna mycket väl kunna öka på den fonden, så att ersättningen blir vad man skulle kunna kalla ifrån alla rättfärdighetssynpunkter rimlig.</w:t>
        <w:br/>
        <w:br/>
        <w:t>Det är de allmänna synpunkter, som utskottet har utgått ifrån och som utskottet trott skulle leda till enighet på denna punkt. Utskottet var som sagt alldeles på det klara med att ersättningen icke från statens synpunkt, vare sig från finansiell synpunkt, eller från allmän underhållssynpunkt, kunde få samma värde, som den linje skulle få, som utskottet här föreslagit. Ifrån den</w:t>
        <w:br/>
        <w:br/>
        <w:t>synpunkten, försörjningssynpunkten, tror jag — jag hoppas, att hans excellens herr ministern för utrikes ärendena också erkänner det — att det mycket</w:t>
        <w:br/>
        <w:br/>
        <w:t>väl skall hända, att effektiviteten kommer att ligga starkare, när man har medel reserverade, tillräckliga för försörjning en längre tid framåt, än när man delar ut 1 eller 2 miljoner kronor, vilka inom ganska kort tid kunna försvinna ur mottagarnas händer, och de behövande sedan stå helt utan framtida existensmedel. Den möjligheten uteslutes i varje fall icke.</w:t>
        <w:br/>
        <w:br/>
        <w:t>Jag vill, herr talman, ha sagt detta för att kammaren skall kunna förstå, att vi ha behandlat detta spörsmål ifrån synpunkten att uppnå enighet och få en effektiv grund i fortsättningen för understöd till dessa, som ha kommit hit på grund av den olycka, de drabbats av i Ryssland, och nödgas ha sitt framtida uppehälle här. Jag vill i förbigående också säga, att vissa ledamöter av utskottet voro mindre tilltalade av denna form. De hade hellre velat gå på</w:t>
        <w:br/>
        <w:br/>
        <w:t xml:space="preserve">avslag på alltsammans, därför att det bleve ett särskilt klientel av understödstagare. De läto sig emellertid övertygas och övertalas just därför, att det ansågs, att de medel, som här stodo till statens förfogande, de s. k. herrelösa medlen, med hänsyn till att det är en begränsad grupp människor, det här är fråga om, mycket väl skulle kunna tagas i anspråk och bilda grunden för denna befolkningsgrupps uppehälle och framtida försörjning här 1 landet. För detta ha de böjt sig. Utskottet erkänner att i dess motivering finns den oklarhet, som hans excellens ministern för utrikes ärendena påtalade. Det har övervägt, huru denna oklarhet skulle kunna fjärmas, och jag skall tillåta mig att här framlägga ett förslag till utökning av motiveringen i tredje stycket på åttonde sidan i utskottets betänkande, ett förslag till tillägg i motiveringen, varom överenskommelse träffats mellan utskottets ledamöter och excellensen för utrikes ärendena. Jag skulle förmoda att avdelningens ordförande har talat med honom. Det förslag, som jag här kommer att föredraga, kommer att framställas även i första kammaren när ärendet där kommer att avgöras. Jag hemställer, att det tillägg, jag avser, får infogas i utskottets motivering efter följande ord, mitt på tredje stycket på åttonde sidan: »Hjälpverksamhetens omfattning synes icke böra inskränkas till det antal registrerade nödlidande rysslandssvenskar, som nu finnes, utan, sedan vederbörande avlidit, komma, därest behov föreligger, efterlevande </w:t>
      </w:r>
      <w:r>
        <w:rPr>
          <w:b/>
        </w:rPr>
        <w:t>maka³</w:t>
      </w:r>
      <w:r>
        <w:rPr>
          <w:b w:val="0"/>
        </w:rPr>
        <w:t xml:space="preserve"> ävensom oförsörjda barn till godo.» Sedan skulle det heta: Hinder bör dock icke föreligga för Kungl. Maj:t att utsträcka hjälpverksamheten även till andra rysslandssvenskar och deras efterlevande än sådana, som är registrerade, och detta även om de icke äro bosatta i Sverige. Så fortsättes det: »När sådana förhållanden inträda, att fondens avkastning icke behöver etc.»</w:t>
        <w:br/>
        <w:br/>
        <w:t>Om det tillägget råder som sagt enighet mellan förslagsställarna, och jag hemställer, att det får inflyta i motiveringen. Jag vill slutligen tillägga, att dessa tankar icke voro utskottet främmande, när utskottet behandlade saken, men anledningen till att de icke kommo till synes i motiveringen var uteslutande, att vi voro rädda för att vidga ramen, sålunda riskera att den finansiella planen skulle brista. När det nu är klart, att det icke föreligger någon risk därför, bör ett sådant tillägg införas, som möjliggör för Kungl. Maj:t att utvidga ramen för understödsverksamheten på detta sätt.</w:t>
        <w:br/>
        <w:br/>
        <w:t>Jag hemställer, herr talman, om bifall till utskottets hemställan med av mig nu föreslagna tillägg i motiveringen.</w:t>
      </w:r>
    </w:p>
    <w:p>
      <w:pPr>
        <w:pStyle w:val="Heading2"/>
      </w:pPr>
      <w:r>
        <w:t>2. Gerhard Strindlund (Bondeförbundet, man)</w:t>
      </w:r>
    </w:p>
    <w:p>
      <w:r>
        <w:rPr>
          <w:b w:val="0"/>
        </w:rPr>
        <w:t>Herr talman! Jag har jämte min partikamrat herr Svensson i Grönvik fogat en blank reservation vid detta utlåtande. Nu har det märkliga inträffat, att herr Nylander på sätt och vis satt en kläm till densamma, men jag vill anhålla att själv få sätta motiveringen.</w:t>
        <w:br/>
        <w:br/>
        <w:t>För det första tycker Jag vi böra erinra oss, att då denna fråga var uppe 1 fjol — inte precis samma fråga men frågan om dessa herrelösa rysspengar — statsutskottets majoritet avstyrkte Kungl. Maj:ts förslag om att vi skulle tillgodogöra oss dessa miljoner, som stodo oss till buds. Nu lägger jag märke till, att en stor del av dem, som då voro med i denna majoritet, tyckas vara synnerligen måna om att icke släppa ifrån sig ett enda öre av dessa pengar. Det är även en annan sak, som jag anser mig i detta sammanhang böra erinra om, och det är, att, när vi mottogo dessa pengar, svenska staten iklädde sig viss garanti för den händelse det sedan skulle komma fordringsägare, som verkligen styrkte, att de hade bättre rätt till pengarna, och den garantien gällde icke bara det belopp, som staten fick av dessa pengar, utan även det belopp, som överlämnades till den bank, som hade haft hand om</w:t>
        <w:br/>
        <w:br/>
        <w:t>undersåtar. (Forts.) pengarna. Så länge som denna garanti står kvar för statens vidkommande, anser jag naturligtvis alldeles orimligt att bifalla den motion, som här väckts och som på sätt och vis tillstyrkes i den av herr Holmgren avgivna reservationen. Han vill utdela hela det belopp, som står kvar, sedan staten gjort sig betäckt för de fordringar, staten själv hade i Ryssland. Jag erinrar mig, att den här frågan om ersättning till rysslandssvenskarna var uppe också i samband med frågan om dessa ryska pengar i fjol. Det uttalades också ganska bestämt, att man ansåg att en del av det belopp, som staten sålunda fick, skulle kunna användas för att ge någon gottgörelse till åtminstone vissa av dessa rysslandssvenskar. Jag tror nog icke jag uttalar någonting annat än vad vi i allmänhet känna, då jag säger, att vi känna en viss liten olust inför detta penningtillskott, som vi på detta sätt fingo. Faktum är ju, att de där pengarna på sätt och vis voro herrelösa, men genom en överenskommelse delades de mellan tre parter, och många av kammarens ledamöter hade säkert den uppfattningen, att det var knappast värdigt för staten att emottaga dessa pengar på sätt som skedde. Då tycker jag det är riktigt, att man infriar det löfte, som gavs om gottgörelse åtminstone i viss utsträckning till dessa rysslandssvenskar, och på sätt och vis också, om jag får använda samma uttryck, som jag använde i statsutskottet, att vi därmed köpa oss avlat för den obehagliga känsla, vi ha i samband med denna uppgörelse. Därför vill Jag tillstyrka, att vi gå den vägen, att vi ge en viss gottgörelse. Jag anser också, att vi böra få bort de här pengarna — om jag så får uttrycka mig — så fort som - möjligt.</w:t>
        <w:br/>
        <w:br/>
        <w:t>Jag kan icke förena mig med majoritetens uppfattning, att, om man skulle ge en allmosa, man avsätter av dessa pengar en fond, vars avkastning skulle gå till ifrågavarande ändamål, ty vill man av billighetsskäl ge ett understöd till dessa svenskar, som varit bosatta i Ryssland och lidit förluster, så låt oss i rimlighetens namn taga det på vanligt sätt på statsbudgeten, låt oss för ändamålet anslå 75,000 kronor. Jag misstänker, att så länge dessa s. k. »rysspengar» finns kvar bevarade i en fond, det alltid kommer att resas krav från personer, som ha mer eller mindre styrkta fordringar i Ryssland och göra anspråk på dessa pengar. Jag är övertygad om att ur budgetär synpunkt icke spelar någon roll, vilken väg vi gå, om vi gå den av herr Nylander föreslagna eller den av statsutskottets majoritet föreslagna. Jag tror inte heller det spelar någon roll ur statsfinansiell synpunkt och beträffande dessa familjer, om vilka vi icke veta, hur länge de komma att leva med barn och barnbarn, så vill jag säga att vi kunna vara övertygade att, om fonden finns kvar, så komma de alltid att finnas, som göra anspråk på bidrag ur densamma. Jag är också säker på att det kommer att finnas motionärer, som framföra dessas önskningar. Jag är övertygad om att dessa två miljoner äro ur räkningen, vilket av förslagen som än kommer att godtagas. Jag skulle dock vilja tillägga en sak, som de, som stodo för alternativ 2, då förslaget kom ifrån avdelningen, hade skrivit in, nämligen att det vore önskvärt att vid fördelningen av medel behovsprincipen 1 första hand komme till tilllämpning samt att i de fall, där så kunde befinnas lämpligt, hjälp skulle beredas vederbörande i form av livränta. Den motiveringen skulle jag i det här fallet vilja hava med.</w:t>
        <w:br/>
        <w:br/>
        <w:t>Jag vill tillägga, att herrarna som försvara utskottets förslag säga, att de anse frågan kunna betraktas såsom på sätt och vis slutbehandlad med det förslag, som här gjorts. Det är det jag icke tror, utan jag tror, att man snarare når det målet, om man gör sig av med pengarna på sätt jag förordat. Om man här skulle godtaga majoritetens uppfattning, dels att det skulle ut-</w:t>
        <w:br/>
        <w:br/>
        <w:t xml:space="preserve">gå periodiska understöd åt sådana utlandssvenskar och sådana familjer etc., och dels att hjälpverksamhetens omfattning icke synes böra inskränkas till det antal registrerade nödlidande rysslandssvenskar, som nu förefinnes, utan, sedan vederbörande avlidit, komma efterlevande </w:t>
      </w:r>
      <w:r>
        <w:rPr>
          <w:b/>
        </w:rPr>
        <w:t>maka³</w:t>
      </w:r>
      <w:r>
        <w:rPr>
          <w:b w:val="0"/>
        </w:rPr>
        <w:t xml:space="preserve"> ävensom oförsörjda barn till godo, så tror jag, att vi finge här för långliga tider en kategori, som med en viss rätt kan göra anspråk på att få åtminstone bidrag till sin försörjning. Jag är rädd för sådana där åtaganden från statens sida. Jag kan erinra om, hur det gick för oss, då vi hade åtagit oss att ersätta all fattigvård för lapparna. Ni minnas väl, att vi fingo lappar litet varstädes i landet och mycket gott om lappar. Denna ersättning utdelades genom resp. länsstyrelser. Slutligen bestämdes att lapparna skulle äga hemortsrätt i vissa kommuner, och därigenom minskades statens utgifter. Jag tror, att vi få många och mycket behövande rysslandssvenskar, om vi gå den väg, som majoriteten föreslagit.</w:t>
        <w:br/>
        <w:br/>
        <w:t>Jag kan mycket väl medgiva, att det belopp, som föreslagits av herr Nylander, kan synas ganska högt, men jag framkastade just det förslaget i diskussionen i statsutskottet, där jag trodde det skulle vinna enighet, och jag ansåg, att den möjligheten skulle förefinnas här också. För att få frågan ur världen och för att få enighet skall jag, herr talman, yrka bifall till det förslag, som avgivits av herr Nylander.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