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740</w:t>
      </w:r>
    </w:p>
    <w:p>
      <w:r>
        <w:rPr>
          <w:b/>
        </w:rPr>
        <w:t xml:space="preserve">Datum: </w:t>
      </w:r>
      <w:r>
        <w:t>1934-05-02</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val="0"/>
        </w:rPr>
        <w:t>Jag har ingen anledning att förlänga debatten. men då herr Stendahl talar om att denna post förbigått hans uppmärksamhet förra året, skall jag erinra om att vid det mycket noggranna uppräknandet av de mer eller mindre fiktiva besparingar, som företogos i förra årets budget för att undvika allt för stora skattehöjningar, omnämndes mycket samvetsgrant, att denna hittills under ett antal år praktiserade avsättning förra året icke kunde företagas.</w:t>
        <w:br/>
        <w:br/>
        <w:t xml:space="preserve">1934, så länge </w:t>
      </w:r>
      <w:r>
        <w:rPr>
          <w:b/>
        </w:rPr>
        <w:t>hon²</w:t>
      </w:r>
      <w:r>
        <w:rPr>
          <w:b w:val="0"/>
        </w:rPr>
        <w:t xml:space="preserve"> förbleve i sitt nuvarande </w:t>
      </w:r>
      <w:r>
        <w:rPr>
          <w:b/>
        </w:rPr>
        <w:t>änkestånd²</w:t>
      </w:r>
      <w:r>
        <w:rPr>
          <w:b w:val="0"/>
        </w:rPr>
        <w:t xml:space="preserve">, utöver </w:t>
      </w:r>
      <w:r>
        <w:rPr>
          <w:b/>
        </w:rPr>
        <w:t>henne²</w:t>
      </w:r>
      <w:r>
        <w:rPr>
          <w:b w:val="0"/>
        </w:rPr>
        <w:t xml:space="preserve"> författ-</w:t>
      </w:r>
    </w:p>
    <w:p>
      <w:pPr>
        <w:pStyle w:val="Heading2"/>
      </w:pPr>
      <w:r>
        <w:t>2. Gustaf Adolf Björkman (Första kammarens nationella parti, man)</w:t>
      </w:r>
    </w:p>
    <w:p>
      <w:r>
        <w:rPr>
          <w:b w:val="0"/>
        </w:rPr>
        <w:t>Herr talman! Ehuru detta är första gången jag under åtskilliga års riksdagstid motionerat i ett ärende av denna natur, vet jag till fullo, att det är god ton, att man icke besvärar kammaren med något yttrande, när bankoutskottet avstyrkt en framställning av förevarande art. Emellertid är det några omständigheter, som göra, att jag för egen och min medmotionärs räkning anser mig böra med några ord till kammarens protokoll uttala vår förvåning över det något schablonmässiga sätt, på vilket vår motion har av bankoutskottet behandlats.</w:t>
        <w:br/>
        <w:br/>
        <w:t xml:space="preserve">Det gäller här en framställning, som först gjordes till Kungl. Maj:t i fråga om en tjugutvåårig värnpliktigs efterlämnade </w:t>
      </w:r>
      <w:r>
        <w:rPr>
          <w:b/>
        </w:rPr>
        <w:t>hustru²</w:t>
      </w:r>
      <w:r>
        <w:rPr>
          <w:b w:val="0"/>
        </w:rPr>
        <w:t xml:space="preserve"> och barn. Kungl. Maj:t fann sig efter att hava hört två myndigheter icke kunna bifalla ansökningen. Nu ha vi, sedan man fått in vissa intyg och andra handlingar, ansett, att det skulle kunna vara möjligt att få en ändring och att vederbörande skulle kunna få någon liten ytterligare årlig ersättning. Vi ha framlagt de synpunkter, som enligt vår mening i detta ytterst ömmande fall förändrade den situation, som låg till grund för myndigheternas utlåtanden och Kungl. Maj:ts avslag 1930. Arméförvaltningens civila departement förklarade då, att ansökningen icke torde kunna bifallas, och statskontoret sade, att ett bifall förefölle »betänkligt». Vi ha försökt att med vår utredning rubba dessa betänkligheter, men bankoutskottet har icke, efter det vi inkommit med våra handlingar, hört några myndigheter eller ens i sitt utlåtande refererat vad vi tillåtit oss anföra.</w:t>
        <w:br/>
        <w:br/>
        <w:t>Då det emellertid gäller ett ringa belopp och det tilläventyrs kan yppa sig möjligheter till ett lokalt ingripande, har jag, herr talman, mot ett enhälligt utskott, intet yrkande.</w:t>
      </w:r>
    </w:p>
    <w:p>
      <w:pPr>
        <w:pStyle w:val="Heading2"/>
      </w:pPr>
      <w:r>
        <w:t>3. Harald Åkerberg (Socialdemokraterna, man)</w:t>
      </w:r>
    </w:p>
    <w:p>
      <w:r>
        <w:rPr>
          <w:b w:val="0"/>
        </w:rPr>
        <w:t>Jag vill endast meddela, att anledningen till att utskottet icke på nytt remitterat denna motion till olika myndigheter är, att i motionen icke framhållits något förhållande, som icke blivit berört i de föregående yttrandena.</w:t>
      </w:r>
    </w:p>
    <w:p>
      <w:pPr>
        <w:pStyle w:val="Heading2"/>
      </w:pPr>
      <w:r>
        <w:t>4. Wilhelm Björck (Socialdemokraterna, man)</w:t>
      </w:r>
    </w:p>
    <w:p>
      <w:r>
        <w:rPr>
          <w:b w:val="0"/>
        </w:rPr>
        <w:t xml:space="preserve">Herr talman! Jag kan inte låta denna punkt gå förbi utan att säga ett par ord till försvar för den motion, som jag tillsammans med herr Bergqvist väckt beträffande förbättring av ifrågavarande </w:t>
      </w:r>
      <w:r>
        <w:rPr>
          <w:b/>
        </w:rPr>
        <w:t>änkas²</w:t>
      </w:r>
      <w:r>
        <w:rPr>
          <w:b w:val="0"/>
        </w:rPr>
        <w:t xml:space="preserve"> och barns pension. Jag skulle icke ha gjort detta, om icke här förelåge ett ur olika synpunkter alldeles säreget fall. Ett beslut i enlighet med motionen innebär så till vida icke någon risk ur konsekvenssynpunkt, att den föreslagna pensionsförhöjningen motiveras med hänsyn till det särskilda arvode, som utgått till nomadskolinspektören. Även detta skulle alltså få tagas i betraktande, som om vederbörande haft ett i motsvarande mån förhöjt pensionsunderlag. På grund av vissa organisatoriska förhållanden har det icke gått att författningsmässigt ordna det på sådant sätt, men i detta speciella fall föreligga starka skäl för en dylik anordning. Detta skulle icke betyda mer än 374 kronor för </w:t>
      </w:r>
      <w:r>
        <w:rPr>
          <w:b/>
        </w:rPr>
        <w:t>änkan²</w:t>
      </w:r>
      <w:r>
        <w:rPr>
          <w:b w:val="0"/>
        </w:rPr>
        <w:t xml:space="preserve"> och de fyra minderåriga barnen tillsammans. Det är också att märka, att denna framställning, som ursprungligen gjordes av skolöverstyrelsen, är tillstyrkt även av statskontoret, och man har ju däri garantier för att det icke är några risker ur konsekvenssynpunkt förbundna med ett bifall.</w:t>
        <w:br/>
        <w:br/>
        <w:t>Jag förstår mycket väl, att Kungl. Maj:t ställt sig avvisande mot en pensionsförhöjning. Kungl. Maj:t har därvid säkerligen främst beaktat den omständigheten, att behovet här icke är så trängande, som det många gånger är. Men när jag icke desto mindre måste urgera, att det i detta fall icke finns någon anledning att taga hänsyn till de ekonomiska förhållanden. som inverka på behovet, beror detta på att av utredningen framgår, att den tjänsteman, som det här gäller, har med till visshet gränsande sannolikhet förts till en för tidig död genom de strapatser, som hans mycket energiska utövande av sin tjänst fört med sig. Det föreligger ett läkarutlåtande, som bland annat visar, att den avlidne nomadskolinspektör Bergström icke hade någon tuberkulos någon gång i september månad — då var röntgenbilden klar — men att däremot hela ena lungan var förstörd några månader senare. Denna raskt progredierande tuberkulos sammanhänger med en förkylning, som Bergström ådrog sig i tjänsten, då han med verkligt ädelmod offrade de resurser, han hade för att skydda sig mot en fjällstorms köld, för att hjälpa en person, som befann sig i hans sällskap. Bägge dessa omständigheter, att alltså dödsorsaken med till visshet gränsande sannolikhet kan föras tillbaka till de strapatser, som den ansträngande tjänstgöringen som nomadskolinspektör medfört, och att sjukdomen komplicerades på grund av en uppoffring för medmänniskor under en snöstorm i fjällen, göra, att jag måste säga, att 1 detta fall föreligga så säregna förhållanden, att kammaren är väl försvarad, om man bortser från konsekvenssynpunkterna. Jag är övertygad om att man därigenom endast gör rättvisa åt de efterlevande efter en man, som under de senaste årtiondena betytt mer än någon annan, när det gällt att ordna upp våra nomaders sociala och kulturella förhållanden, en man, som i svensk administration på ett svårbedömligt område betytt så otroligt mycket. Under sådana förhållanden borde man kunnat från bankoutskottets sida utan att lädera några grundläggande principer gå med på den mycket blygsamma pensionsförhöjning, som är påyrkad av motionärerna och som dessutom tillstyrkts av statskontoret.</w:t>
        <w:br/>
        <w:br/>
        <w:t>Jag ber, herr talman, att få yrka bifall till motionen.</w:t>
      </w:r>
    </w:p>
    <w:p>
      <w:pPr>
        <w:pStyle w:val="Heading2"/>
      </w:pPr>
      <w:r>
        <w:t>5. Harald Åkerberg (Socialdemokraterna, man)</w:t>
      </w:r>
    </w:p>
    <w:p>
      <w:r>
        <w:rPr>
          <w:b w:val="0"/>
        </w:rPr>
        <w:t>Den siste talaren har till stöd för motionen anfört, att här skulle föreligga alldeles säregna förhållanden. Jag vill ifrån min tvååriga erfarenhet i bankoutskottet säga, att det är ytterst få motioner i pensionsärenden, som komma till detta utskott, där man icke till sitt stöd anför just detta, att här föreligga alldeles särskilt säregna förhållanden, här gäller det en alldeles särskilt duktig karl, som gjort staten så stora tjänster, att det kan finnas skäl att bevilja en högre pension eller att överhuvud taget bevilja pension. Men skulle utskottet falla undan för dessa synpunkter, så skulle så gott som samtliga motioner bifallas.</w:t>
        <w:br/>
        <w:br/>
        <w:t>Nu är det möjligt, att utskottet kanske gått litet för långt i konsekvens och i hårdhet, men å andra sidan får utskottet ha vissa principer, och med hänsyn till de principer, utskottet tidigare tillämpat, finns det inga skäl att bifalla denna framställning. Vi ha ju, det måste jag verkligen säga, i allmänhet duktiga tjänstemän i landet. Vi förutsätta, att de skola göra sitt bästa, och det kan knappast åberopas som skäl för en högre pension än den i ordinarie väg meddelade, att en tjänsteman varit särskilt duktig, ty duktiga äro de flesta. Och den synpunkt, som herr Björck anfört, att denne tjänsteman skulle ha fått en för tidig död på grund av de strapatser, han utsatt sig för under sin tjänst, tror jag inte heller i detta fall kan åberopas som skäl för en höjning av pensionen.</w:t>
        <w:br/>
        <w:br/>
        <w:t>Som framgår av utskottsutlåtandet, uppbära de efterlevande en pension av 1,972 kronor, på vilket belopp de ha dyrtidstillägg med 732 kronor. Som familjepension är ju detta ett ganska högt belopp, ett av de högsta som utgår, skulle jag tro. Nu anföres det till stöd för yrkandet om höjning, att denne man hade uppburit ett särskilt arvode på 1,100 kronor, och det anses, att pensionen även borde ha beräknats på detta. Det strider emellertid under alla förhållanden mot den kutym, som varit rådande, att bevilja pension på sådana tillfälliga arvoden.</w:t>
        <w:br/>
        <w:br/>
        <w:t>Med anledning av vad jag nu anfört ber jag, herr talman, att få yrka bifall till utskottets hemställan.</w:t>
      </w:r>
    </w:p>
    <w:p>
      <w:pPr>
        <w:pStyle w:val="Heading2"/>
      </w:pPr>
      <w:r>
        <w:t>6. Wilhelm Björck (Socialdemokraterna, man)</w:t>
      </w:r>
    </w:p>
    <w:p>
      <w:r>
        <w:rPr>
          <w:b w:val="0"/>
        </w:rPr>
        <w:t xml:space="preserve">Herr talman! Jag vågar inlägga en gensaga mot bankoutskottets ordförande på den punkten, att när det gäller en pensionsförhöjning för en tjänsteman, som avlidit på grund av skador i tjänsten, kan man bortse från prejudikatsynpunkten. Det har hänt i något enstaka fall också tidigare, att sådan förhöjning beviljats. Statskontoret har åberopat, att så varit fallet beträffande en veterinär, som avlidit på grund av skada, som han ådragit sig under tjänsteutövning, och vad beträffar det speciella förhållandet, att det gäller en nomadskolinspektör, har bankoutskottet tidigare förordat, att nomadskolinspektören Karnells </w:t>
      </w:r>
      <w:r>
        <w:rPr>
          <w:b/>
        </w:rPr>
        <w:t>änka²</w:t>
      </w:r>
      <w:r>
        <w:rPr>
          <w:b w:val="0"/>
        </w:rPr>
        <w:t xml:space="preserve"> skulle få en gratifikation en gång för alla, en form som valdes med hänsyn till att Karnell var delaktig i prästerskapets </w:t>
      </w:r>
      <w:r>
        <w:rPr>
          <w:b/>
        </w:rPr>
        <w:t>änkeoch²</w:t>
      </w:r>
      <w:r>
        <w:rPr>
          <w:b w:val="0"/>
        </w:rPr>
        <w:t xml:space="preserve"> pupillkassa. Jag tror därför, att det inte kan anföras något formellt skäl mot bifall till motionen. Och det var icke den omständigheten, att den avlidne nomadskolinspektören var en sällsynt dugande man, som jag lagt huvudvikten vid, utan huvudsynpunkten för både mig och min medmotionär har varit den, att Bergström enligt läkares utlåtande har, såvitt det är möjligt att bedöma, mött sin död på grund av en i tjänsten ådragen skada.</w:t>
      </w:r>
    </w:p>
    <w:p>
      <w:pPr>
        <w:pStyle w:val="Heading2"/>
      </w:pPr>
      <w:r>
        <w:t>7. Harald Åkerberg (Socialdemokraterna, man)</w:t>
      </w:r>
    </w:p>
    <w:p>
      <w:r>
        <w:rPr>
          <w:b w:val="0"/>
        </w:rPr>
        <w:t>Jag talade i mitt förra anförande om att utskottet får lov att ha sina principer, men det förekommer ju ibland, att utskottet går ifrån dessa principer, och det skulle utskottet givetvis också ha kunnat göra i detta fall. Det skulle ha kunnat gå motionären till mötes</w:t>
      </w:r>
    </w:p>
    <w:p>
      <w:pPr>
        <w:pStyle w:val="Heading2"/>
      </w:pPr>
      <w:r>
        <w:t>8. Wilhelm Björck (Socialdemokraterna, man)</w:t>
      </w:r>
    </w:p>
    <w:p>
      <w:r>
        <w:rPr>
          <w:b w:val="0"/>
        </w:rPr>
        <w:t xml:space="preserve">Jag vill endast med anledning av vad bankoutskottets ärade ordförande nyss anförde säga, att om man jämför den </w:t>
      </w:r>
      <w:r>
        <w:rPr>
          <w:b/>
        </w:rPr>
        <w:t>änka²</w:t>
      </w:r>
      <w:r>
        <w:rPr>
          <w:b w:val="0"/>
        </w:rPr>
        <w:t xml:space="preserve">, som omtalas under punkt 5, och den </w:t>
      </w:r>
      <w:r>
        <w:rPr>
          <w:b/>
        </w:rPr>
        <w:t>änka²</w:t>
      </w:r>
      <w:r>
        <w:rPr>
          <w:b w:val="0"/>
        </w:rPr>
        <w:t xml:space="preserve">, som omtalas under punkt 7, äro deras förhållanden ur förmögenhetssynpunkt nästan identiskt lika med hänsyn till att den nu ifrågavarande </w:t>
      </w:r>
      <w:r>
        <w:rPr>
          <w:b/>
        </w:rPr>
        <w:t>änkan²</w:t>
      </w:r>
      <w:r>
        <w:rPr>
          <w:b w:val="0"/>
        </w:rPr>
        <w:t xml:space="preserve"> har flera barn. Den under punkt 5 omförmälda </w:t>
      </w:r>
      <w:r>
        <w:rPr>
          <w:b/>
        </w:rPr>
        <w:t>änkan²</w:t>
      </w:r>
      <w:r>
        <w:rPr>
          <w:b w:val="0"/>
        </w:rPr>
        <w:t xml:space="preserve"> hade också pension, och behållningen i boet uppgick till 30,000 kronor, men trots dessa förhållanden gick bankoutskottet med på att höja pensionen. Var och en, som läser bankoutskottets utlåtande under punkt 5 och punkt 7, har anledning att göra sina jämförelser, därför att den motivering, som är anförd under punkt 5, borde kunnat ord för ord gälla även under punkt 7, med den skillnaden, att det här är fråga om en befattningshavare, som sannolikt avlidit på grund av skada i tjänsten.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