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742</w:t>
      </w:r>
    </w:p>
    <w:p>
      <w:r>
        <w:rPr>
          <w:b/>
        </w:rPr>
        <w:t xml:space="preserve">Datum: </w:t>
      </w:r>
      <w:r>
        <w:t>1934-05-12</w:t>
      </w:r>
    </w:p>
    <w:p>
      <w:r>
        <w:rPr>
          <w:b/>
        </w:rPr>
        <w:t xml:space="preserve">Kammare: </w:t>
      </w:r>
      <w:r>
        <w:t>Första kammaren</w:t>
      </w:r>
    </w:p>
    <w:p>
      <w:r>
        <w:rPr>
          <w:b/>
        </w:rPr>
        <w:t xml:space="preserve">Antal yttranden: </w:t>
      </w:r>
      <w:r>
        <w:t>7</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Harald Åkerberg (Socialdemokraterna, man)</w:t>
      </w:r>
    </w:p>
    <w:p>
      <w:r>
        <w:rPr>
          <w:b w:val="0"/>
        </w:rPr>
        <w:t>Det är klart, att man kan medge, att det är en ren omdömessak, huruvida man i detta fall skall bevilja pension eller inte. Men när herr Lindgren frammanar de farliga konsekvenserna av ett bifall till propositionen, tar han inte hänsyn till att motsvarande pensioner ha beviljats flera gånger förut. Det har beviljats massor av sådana pensioner. TI ett fall har det t. ex. förekommit, att staten har övertagit en skrädderiverkstad, som förut hade utfört entreprenadarbeten åt staten. När sedan arbetarna blevo gamla, hava de av riksdagen beviljats pensioner, och i deras tjänstetid har då också inräknats den tid, de arbetat i den enskilda fabriken, fastän detta skett på entreprenad åt staten.</w:t>
        <w:br/>
        <w:br/>
        <w:t xml:space="preserve">I detta fall har ifrågavarande </w:t>
      </w:r>
      <w:r>
        <w:rPr>
          <w:b/>
        </w:rPr>
        <w:t>städerska³</w:t>
      </w:r>
      <w:r>
        <w:rPr>
          <w:b w:val="0"/>
        </w:rPr>
        <w:t xml:space="preserve">, såsom herr Lindgren redan har meddelat, under 6 år haft städningen som eget företag; men 11"/, år tidigare — inte 107/, år, som herr Lindgren sade — har </w:t>
      </w:r>
      <w:r>
        <w:rPr>
          <w:b/>
        </w:rPr>
        <w:t>hon²</w:t>
      </w:r>
      <w:r>
        <w:rPr>
          <w:b w:val="0"/>
        </w:rPr>
        <w:t xml:space="preserve"> utfört arbete hos en entreprenör, som haft städningen. Men </w:t>
      </w:r>
      <w:r>
        <w:rPr>
          <w:b/>
        </w:rPr>
        <w:t>hon²</w:t>
      </w:r>
      <w:r>
        <w:rPr>
          <w:b w:val="0"/>
        </w:rPr>
        <w:t xml:space="preserve"> har dock hela denna tid, hela 17"/, år, arbetat i statens tjänst, utfört ett arbete för staten. Därunder har </w:t>
      </w:r>
      <w:r>
        <w:rPr>
          <w:b/>
        </w:rPr>
        <w:t>hon²</w:t>
      </w:r>
      <w:r>
        <w:rPr>
          <w:b w:val="0"/>
        </w:rPr>
        <w:t xml:space="preserve"> haft en ganska långvarig arbetstid. Det har inte varit någon timme om dagen utan 6 timmar om dagen, som </w:t>
      </w:r>
      <w:r>
        <w:rPr>
          <w:b/>
        </w:rPr>
        <w:t>hon²</w:t>
      </w:r>
      <w:r>
        <w:rPr>
          <w:b w:val="0"/>
        </w:rPr>
        <w:t xml:space="preserve"> har arbetat i denna tjänst. </w:t>
      </w:r>
      <w:r>
        <w:rPr>
          <w:b/>
        </w:rPr>
        <w:t>Hon²</w:t>
      </w:r>
      <w:r>
        <w:rPr>
          <w:b w:val="0"/>
        </w:rPr>
        <w:t xml:space="preserve"> har alltså haft nästan hel tjänstgöring under denna tid.</w:t>
        <w:br/>
        <w:br/>
        <w:t>Även i detta fall kastar det nya pensionsreglemente, som Kungl. Maj:t har förelagt riksdagen och som föreligger så gott som färdigt i bankoutskottet, sin skugga framför sig. Om detta reglemente hade tillämpats, skulle med all säkerhet städerskan Pettersson ha fått sin pension utan riksdagsbehandling.</w:t>
        <w:br/>
        <w:br/>
        <w:t>Jag ber, herr talman, att få yrka bifall till utskottets framställning.</w:t>
      </w:r>
    </w:p>
    <w:p>
      <w:pPr>
        <w:pStyle w:val="Heading2"/>
      </w:pPr>
      <w:r>
        <w:t>2. Adolf Lindgren (–, man)</w:t>
      </w:r>
    </w:p>
    <w:p>
      <w:r>
        <w:rPr>
          <w:b w:val="0"/>
        </w:rPr>
        <w:t>Jag kan icke finna, att det exempel, som bankoutskottets ärade ordförande här har framdragit, i något hänseende är tillämpligt på detta fall. Då staten övertog vissa skrädderiverkstäder och därmed också deras arbetare, var det för det första så, att arbetarna där hade haft full sysselsättning. Här är det ju däremot fråga om en bisyssla. För det andra hade väl skrädderiarbetarna tjänstgjort längre tid hos staten. Jag ber att ännu en gång få erinra om att nu ifrågavarande person fick sin statsanställning efter fyllda 62 år.</w:t>
        <w:br/>
        <w:br/>
        <w:t xml:space="preserve">Då vidare bankoutskottets ärade ordförande hänvisade till det förslag till pensionsreglemente, som är under arbete i utskottet, ber jag att få erinra om att där är den föreslagna pensionsåldern vida lägre än den, vartill städerskan Pettersson hade kommit, då </w:t>
      </w:r>
      <w:r>
        <w:rPr>
          <w:b/>
        </w:rPr>
        <w:t>hon²</w:t>
      </w:r>
      <w:r>
        <w:rPr>
          <w:b w:val="0"/>
        </w:rPr>
        <w:t xml:space="preserve"> inträdde i statstjänst.</w:t>
        <w:br/>
        <w:br/>
        <w:t>Jag vidhåller, herr talman, mitt yrkande.</w:t>
      </w:r>
    </w:p>
    <w:p>
      <w:pPr>
        <w:pStyle w:val="Heading2"/>
      </w:pPr>
      <w:r>
        <w:t>3. Harald Åkerberg (Socialdemokraterna, man)</w:t>
      </w:r>
    </w:p>
    <w:p>
      <w:r>
        <w:rPr>
          <w:b w:val="0"/>
        </w:rPr>
        <w:t>Herr talman! Jag har inte mycket att tillägga. Herr Lindgren erinrade om att de skrädderiarbetare jag nyss talade om kanske hade</w:t>
        <w:br/>
        <w:br/>
        <w:t>Någon bisyssla i egentlig mening kan man inte kalla det, när en person ändå arbetar sex timmar om dagen.</w:t>
        <w:br/>
        <w:br/>
        <w:t>återstående livstid å allmänna indragningsstaten uppbära en årlig pension av 372 kronor.</w:t>
      </w:r>
    </w:p>
    <w:p>
      <w:pPr>
        <w:pStyle w:val="Heading2"/>
      </w:pPr>
      <w:r>
        <w:t>4. Adolf Lindgren (–, man)</w:t>
      </w:r>
    </w:p>
    <w:p>
      <w:r>
        <w:rPr>
          <w:b w:val="0"/>
        </w:rPr>
        <w:t xml:space="preserve">Herr talman! Även vid denna punkt har jag jämte tre andra ledamöter av utskottet avgivit en reservation. Städerskan Carolina Johansson har endast under 7'/; år varit anställd som </w:t>
      </w:r>
      <w:r>
        <w:rPr>
          <w:b/>
        </w:rPr>
        <w:t>städerska³</w:t>
      </w:r>
      <w:r>
        <w:rPr>
          <w:b w:val="0"/>
        </w:rPr>
        <w:t xml:space="preserve"> hos skolöverstyrelsen, och denna anställning började sedan </w:t>
      </w:r>
      <w:r>
        <w:rPr>
          <w:b/>
        </w:rPr>
        <w:t>hon²</w:t>
      </w:r>
      <w:r>
        <w:rPr>
          <w:b w:val="0"/>
        </w:rPr>
        <w:t xml:space="preserve"> fyllt 68 år. </w:t>
      </w:r>
      <w:r>
        <w:rPr>
          <w:b/>
        </w:rPr>
        <w:t>Hon²</w:t>
      </w:r>
      <w:r>
        <w:rPr>
          <w:b w:val="0"/>
        </w:rPr>
        <w:t xml:space="preserve"> innehade den alltså mellan 68 och 75'/, års ålder. Städerskan Johansson har vis-</w:t>
        <w:br/>
        <w:br/>
        <w:t>Jag ber, herr talman, att få yrka avslag på utskottets hemställan och bifall till den vid punkten fogade reservationen.</w:t>
      </w:r>
    </w:p>
    <w:p>
      <w:pPr>
        <w:pStyle w:val="Heading2"/>
      </w:pPr>
      <w:r>
        <w:t>5. Harald Åkerberg (Socialdemokraterna, man)</w:t>
      </w:r>
    </w:p>
    <w:p>
      <w:r>
        <w:rPr>
          <w:b w:val="0"/>
        </w:rPr>
        <w:t>Detta ärende är fullständigt analogt med det, som förelåg</w:t>
        <w:br/>
        <w:br/>
        <w:t>i punkt 32. Jag ber att få yrka bifall till utskottets hemställan.</w:t>
      </w:r>
    </w:p>
    <w:p>
      <w:pPr>
        <w:pStyle w:val="Heading2"/>
      </w:pPr>
      <w:r>
        <w:t>6. Sten Stendahl (Första kammarens nationella parti, man)</w:t>
      </w:r>
    </w:p>
    <w:p>
      <w:r>
        <w:rPr>
          <w:b w:val="0"/>
        </w:rPr>
        <w:t xml:space="preserve">Herr talman! Så riktigt analogt med det föregående ärendet är ändå inte detta, ty den nu ifrågavarande städerskan har varit anställd hos en entreprenör, som var </w:t>
      </w:r>
      <w:r>
        <w:rPr>
          <w:b/>
        </w:rPr>
        <w:t>hennes²</w:t>
      </w:r>
      <w:r>
        <w:rPr>
          <w:b w:val="0"/>
        </w:rPr>
        <w:t xml:space="preserve"> </w:t>
      </w:r>
      <w:r>
        <w:rPr>
          <w:b/>
        </w:rPr>
        <w:t>dotter²</w:t>
      </w:r>
      <w:r>
        <w:rPr>
          <w:b w:val="0"/>
        </w:rPr>
        <w:t>, och så var inte förhållandet i det</w:t>
        <w:br/>
        <w:br/>
        <w:t>förra fallet.</w:t>
      </w:r>
    </w:p>
    <w:p>
      <w:pPr>
        <w:pStyle w:val="Heading2"/>
      </w:pPr>
      <w:r>
        <w:t>7. Harald Åkerberg (Socialdemokraterna, man)</w:t>
      </w:r>
    </w:p>
    <w:p>
      <w:r>
        <w:rPr>
          <w:b w:val="0"/>
        </w:rPr>
        <w:t xml:space="preserve">Här föreligger ett fall, som är fullständigt likartat med de båda föregående vi upptagit till debatt, och egentligen är det en inkonsekvens av utskottets majoritet, att den inte har tillstyrkt bifall även till denna framställning. Jag kan inte förstå annat än att anledningen härtill har varit, att framställningen här grundar sig på en motion och inte på en kungl. proposition, men fallen äro fullständigt analoga. Ja, man skulle till och med kunna säga, om man ställer sig på den ståndpunkt, som herr Lindgren intagit i de båda föregående frågorna, att det finns starkare skäl för den föreliggande framställningen än för de båda föregående. Städerskan Skoglund har visserligen arbetat endast i 16 år, men </w:t>
      </w:r>
      <w:r>
        <w:rPr>
          <w:b/>
        </w:rPr>
        <w:t>hon²</w:t>
      </w:r>
      <w:r>
        <w:rPr>
          <w:b w:val="0"/>
        </w:rPr>
        <w:t xml:space="preserve"> har hela tiden varit direkt anställd vid postkontoret i Tidaholm.</w:t>
        <w:br/>
        <w:br/>
        <w:t>Jag anser, att kammaren, då den bifallit de båda närmast föregående framställningar, varom diskussion uppstått, inte heller kan säga nej till denna, varför jag yrkar bifall till den vid punkten fogade reservationen.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742</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