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767</w:t>
      </w:r>
    </w:p>
    <w:p>
      <w:r>
        <w:rPr>
          <w:b/>
        </w:rPr>
        <w:t xml:space="preserve">Datum: </w:t>
      </w:r>
      <w:r>
        <w:t>1936-01-17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Wigforss (Socialdemokraterna, man)</w:t>
      </w:r>
    </w:p>
    <w:p>
      <w:r>
        <w:rPr>
          <w:b w:val="0"/>
        </w:rPr>
        <w:t>Den fråga herr Forslund ställde till mig med anledning av några ord i finansplanen skall jag gärna söka besvara så gott jag kan.</w:t>
        <w:br/>
        <w:br/>
        <w:t>Det är tydligt att frågan om statstjänarnas löner har fått ligga nere under de förflutna åren. Jag tror inte jag begår ett misstag om jag säger, att när krisen var som värst, på hösten 1932 och när riksdagen sammanträdde 1933, var man på statstjänarhåll mycket tillfredsställd med att det var möjligt att undvika en radikal nedskärning, för att inte säga ett borttagande av dyrtidstilläggen. Det var naturligt att under dessa krisår önskemålet om att den en gång företagna utredningen skulle leda till proposition inte framfördes med någon större styrka. Men när tiderna bli bättre, när man ser hur på andra områden lönerna stiga, hur tjänstemännen få tillbaka förmåner som de fått avstå ifrån, när det talas om att i bolagsstyrelserna arvodena återföras till sin gamla nivå, när hela samhället har glömt hur svårt det var för några år sedan och inrättar sig efter en ny uppgångstid, så förstår jag mycket väl, att tjänstemännen tycka, att det kanske dröjer alltför länge, innan deras tur kommer. Jag finner med en viss förvåning att det nu låter, som om det vore en överraskning, att överhuvud taget inte hela frågan om lärarnas och statstjänstemännens löner kommer fram till denna riksdag. Jag har ett bestämt minne av, att ännu på våren 1935, alltså när förra riksdagen åtskildes, ingen på allvar tänkte sig en sådan möjlighet. När jag själv i höstas av vissa anledningar fann lämpligt att ta upp frågan på nytt, var det utan någon påstötning utifrån. Orsaken var i grund och botten den, att den omläggning av hela pensionsväsendet m. m., som pågått under de senaste åren, gjorde det önskvärt att så snabbt som möjligt också komma fram till frågan om en revision av hela lönereglementet. Därför upptogs frågan om lärarlönerna och först den punkt som var enklast, nämligen de statsanställda lärarnas löner. Man kom då till ett preliminärt resultat, som i fråga om de statsanställda lärarna kunde ha möjliggjort ett framläggande av proposition till detta års riksdag. Men det fanns vissa punkter redan i fråga om de statsanställda lärarna som gjorde det önskvärt, att man samtidigt skaffade sig en bestämd ståndpunkt även i fråga om folkskollärarnas och småskollärarnas löneproblem, och när detta strax därpå togs upp, visade det sig att åtskilliga ting inte voro tillräckligt utredda.</w:t>
        <w:br/>
        <w:br/>
        <w:t xml:space="preserve">Eftersom saken i den offentliga debatten spelat en roll skall jag erinra om, att 1928 års lönekommittés förslag innebar vad man kallar en bruttolön, det vill säga att hela den lön som skulle utgå till lärare vid folkoch småskolor skulle bestämmas efter en viss lönegrad. Däri skulle även innefattas de s. k. naturaförmånerna, men dessa skulle stå kvar, och så skulle man för dem göra vissa avdrag. Det är en väg som vissa skäl tala för, men som inte är den enda möjliga och säkerligen icke den lättast framkomliga. Den remiss, som detta förslag från 1928 års lönekommitté hade underkastats, ledde till att ett ämbetsverk, statskontoret, direkt avvisade denna väg och rekommenderade en annan, nämligen att lärarna skulle direkt inplaceras i statens löneschema endast till den del av lönen som var kontantlön. En utredning även härom ha vi ansett vara nödvändig, och hela den utredning om alla de utgående löneförmånerna till varje lärare och </w:t>
      </w:r>
      <w:r>
        <w:rPr>
          <w:b/>
        </w:rPr>
        <w:t>lärarinna³</w:t>
      </w:r>
      <w:r>
        <w:rPr>
          <w:b w:val="0"/>
        </w:rPr>
        <w:t xml:space="preserve"> i detta land, som måste vara en förutsättning för att saken skall läggas fram för riksdagen, har faktiskt varit omöjlig att medhinna till detta års riksdag. Detta är anledningen till att inte något förslag om lönereglering nu kommer fram.</w:t>
        <w:br/>
        <w:br/>
        <w:t>Vad beträffar de övriga statstjänstemännen kan man säga, att där har det inte varit möjligt att ens preliminärt skaffa sig en föreställning om de kostnader, som kunna vara förbundna med en lönereglering. Saken är emellertid</w:t>
        <w:br/>
        <w:br/>
        <w:t xml:space="preserve">Statsverkspropositionen. (Forts.) så till vida mycket aktuell, som de båda föregående riksdagarna ha ordnat med en ny tjänstepensionslag för både civila och militära befattningshavare. Förhandlingar ha pågått, som jag hoppas skola ge möjlighet att för detta års riksdag lägga fram förslag om ett generellt ordnande av </w:t>
      </w:r>
      <w:r>
        <w:rPr>
          <w:b/>
        </w:rPr>
        <w:t>änkeoch²</w:t>
      </w:r>
      <w:r>
        <w:rPr>
          <w:b w:val="0"/>
        </w:rPr>
        <w:t xml:space="preserve"> barnpensioneringen för statstjänare, och sedan är utan tvivel ögonblicket kommet, då hela frågan om det s. k. nya lönereglementets omarbetning måste tagas upp på nytt.</w:t>
        <w:br/>
        <w:br/>
        <w:t xml:space="preserve">Att denna sak icke är så enkel framgår därav, att sedan 1928 års lönekommitté avlämnade sitt betänkande de ekonomiska förhållandena ha ändrats på sådant sätt, att jag för min del inte tror att det är möjligt att gå fram på den linje, som nämnda kommitté föreslog. Man ville helt enkelt inom kommittén slopa de s. k. dyrtidstilläggen eller rörliga lönetilläggen och föra dem in som en fast del av lönen. Det hade naturligtvis för statstjänarna varit en mycket stor fördel, om detta hade skett, innan det stora prisfallet inträdde, men lika uppenbart är, att när man nu synes stå inför en period av återigen stigande priser, det kommer att bli mycket svårt att enas om den nivå, vid vilken lönerna skola slås fast utan några rörliga tillägg. Jag anser således, att en av de frågor som omedelbart måste tagas upp till behandling är, om man även vid en omarbetning av lönereglementet måste räkna med en fast del av lönen och en rörlig del som följer levnadskostnaderna. Vidare har på grund av ändringarna i tjänstepensioneringen och de förslag som komma att framläggas om familjepensioneringen hela frågan om avdrag på lönen för pension och </w:t>
      </w:r>
      <w:r>
        <w:rPr>
          <w:b/>
        </w:rPr>
        <w:t>änkepension²</w:t>
      </w:r>
      <w:r>
        <w:rPr>
          <w:b w:val="0"/>
        </w:rPr>
        <w:t xml:space="preserve"> kommit i ett nytt läge. Alltsammans gör, att den överarbetning av 1928 års förslag, som blivit erforderlig, inte kommer att vara så enkel, och jag kan därför inte för ögonblicket uttala mig om, hur lång tid en sådan utredning kommer att ta. Men vad jag kan försäkra herr Forslund är, att dess igångsättande inte kommer att dröja mycket länge. Jag skulle kunna säga, att redan inom den närmaste tiden hela denna reglering kommer att tagas upp till övervägande genom tillsatta sakkunniga.</w:t>
        <w:br/>
        <w:br/>
        <w:t>När jag ändå har ordet skall jag be att få säga ett par ord med anledning av herrar Forssells och Velanders yttranden. Herr Forssell klagade över att regeringen vid sina undersökningar rörande förbätting av svenska folkets fösörjningsmöjligheter inte tagit upp något av ett förslag som lär ha kommit från tekniska högskolan rörande vissa tekniska utredningar på träområdet, under det regeringen tagit upp ett förslag som gäller framställande av flytande bränsle ur trä, vilket enligt herr Forssells mening hade mycket minimala utsikter att ge något resultat. Ja, man befinner sig tyvärr härvid i det läget, att man inte själv är sakkunnig. Men vi ha en ingenjörsvetenskapsakademi, som under många år bedrivit forskningar på detta område, och det är på rekommendation — och jag skulle vilja säga på mycket kraftig rekommendation och enträgen hemställan — från denna ingenjörsvetenskapsakademi, vars kompetens herr Forssell nu underkänner, som detta förslag med en ökning av upp till 90,000 kronor av anslaget till ingenjörsvetenskapsakademien har kommit till. Huruvida något förslag från tekniska högskolan förelegat kan jag i detta ögonblick inte erinra mig. Det är inte så lätt att hålla reda på alla detaljer rörande framställningar, som icke kommit med i Kungl. Maj:ts propositioner. Men om jag skulle uttala något allmänt rörande tekniska högskolan, så tror Jag att jag vågar säga, att statsmakternas omsorg om tekniska högskolan och deras villighet att med mycket dryga uppoffringar gå till mötes önskemål från det hållet inte kan betvivlas.</w:t>
        <w:br/>
        <w:br/>
        <w:t>Herr Forssells yttrande om den planhushållning som inte en gång bedrives inom regeringen, tror jag liksom så mycket annat vilar på att man förbiser vissa distinktioner. Det är alldeles riktigt, att jag upprepade gånger under</w:t>
        <w:br/>
        <w:br/>
        <w:t>Statsverkspropositionen. (Forts.) dessa år har sagt, att en av uppgifterna för krispolitiken, och den som jag mycket väl förstår är lättast tillgänglig för många människor, är att påskynda och under depressionsperioden låta utföra statliga och kommunala företag som ändå måste komma till stånd. Men därför är det inte sagt att man skulle vara förhindrad att ta upp företag, som inte under alla förhållanden skulle ha kommit till stånd. Det är alltså ingen motsägelse, att man under en depressionsperiod låter utföra vissa ting, som ändå något senare skulle komma till stånd, och samtidigt, som statsrådet Leo har gjort, rekommenderar en elektrifiering som inte för ögonblicket anses räntabel. De elektrifieringar som gjordes förra året äro ju, som herr Forssell har reda på, av två slag, sedda från järnvägsstyrelsens synpunkt. Det ena slaget äro sådana som järnvägsstyrelsen anser omedelbart räntabla och som den därför under alla förhållanden föreslår. Det andra slaget är sådana som järnvägsstyrelsen icke från sin företagsekonomiska synpunkt anser sig kunna rekommendera men som den gärna ser genomförda, bara inte pengarna räknas in i det kapital som statsbaneföretaget anses vara skyldigt att förränta. Jag tror således, att motsättningen inom regeringen rörande denna planhushållning inte är så stor.</w:t>
        <w:br/>
        <w:br/>
        <w:t>Däremot rekommenderar jag herr Forssell att något granska den motion, som hans parti nyligen väckte rörande hela vår jordbrukspolitik, ty om något innebär en långt gående planhushållning så är det denna. Den innebär nämligen att de svenska statsmakterna skola ta på sig ansvaret att så behärska den svenska marknaden — inte den allmänna prisnivån utan de speciella priserna — att jordbrukets priser hållas uppe, icke vid en viss bestämd nivå, som riksdagen tidigare har uttalat sig för, utan i ett visst bestämt förhållande till andra priser. Hur man skall kunna genomföra en planhushållning inom jordbruket och inom övriga näringsgrenar och hålla dessas priser i ett visst förhållande till varandra utan mycket långtgående reglerande och planmässiga ingripanden på näringslivets område, det torde motionärerna vara ensamma om att förstå.</w:t>
        <w:br/>
        <w:br/>
        <w:t>Herr Velander talade något om skatterna. Jag skall inte förlänga detta kvällsplenum med att ta upp den saken till diskussion, ty den få vi rikliga tillfällen att diskutera, då den nya propositionen kommer. Men den som möjligen förvånas över, hur ojämnt en förmögenhetsskatt enligt vissa av herr Velanders exempel verkar, vill jag bara erinra om det välbekanta faktum, att varje förmögenhetsskatt just har den egenskapen att inte stå i något direkt förhållande till förmögenhetens avkastning. Vi ha i vår nuvarande inkomstoch förmögenhetsskatt ett element av förmögenhetsbeskattning. "/so av förmögenheten kommer ingen ifrån, hur liten inkomst han än har av förmögenheten. Jag förstår inte, att herr Velander eller någon annan nöjer sig med så blygsamma jämförelsetal som 5 och 50 procent. Det är ingen svårighet att konstruera enskilda fall av skatt på förmögenhet som i relation till inkomsten gå upp till 100 och 1,000 procent eller till ett procenttal som man brukar beteckna med en liggande åtta.</w:t>
      </w:r>
    </w:p>
    <w:p>
      <w:pPr>
        <w:pStyle w:val="Heading2"/>
      </w:pPr>
      <w:r>
        <w:t>2. Axel Nylander (–, man)</w:t>
      </w:r>
    </w:p>
    <w:p>
      <w:r>
        <w:rPr>
          <w:b w:val="0"/>
        </w:rPr>
        <w:t>Herr talman! TI sitt anförande på förmiddagen använde herr Rickard Lindström en gammal känd metod att komma mig till livs genom att inför åhörarna söka göra troligt, att jag hade sagt en del saker som jag inte alls hade sagt. Det är väl dock en metod som endast brukar användas på »enklare valmöten», eller hur, herr Lindström? TI själva verket har jag i mitt anförande, med stöd av arbetslöshetskommissionens officiella rapport, konstaterat att vissa felaktigheter förekommit i Brastad, men jag har inte angripit eller ens sagt ett enda ord om dess arbetslöshetskommittés ordförande. Jag har inte sökt bagatellisera arbetslösheten i Bohuslän och de därmed för-</w:t>
        <w:br/>
        <w:br/>
        <w:t>Statsverkspropositionen. (Forts.) enade stora svårigheterna. Jag har inte ställt mig utanför åtgärder, som kunna lända till mera varaktig försörjning för de av permanent arbetslöshet drabbade landsändarna. Vad särskilt det sistnämnda problemet beträffar vill Jag hänvisa herr Lindström att studera den reservation, som undertecknad och övriga högerledamöter i statsutskottet förra året avgåvo under punkten om arbetslösheten, som just tog sikte på behövligheten av dylika åtgärder, för vilket ändamål medel föreslogos skola reserveras.</w:t>
        <w:br/>
        <w:br/>
        <w:t xml:space="preserve">Vad fallet Brastad angår har herr Lindström i övrigt presterat just det vältaliga ordflöde som jag hade väntat. Han har gjort en fruktansvärd svartmålning av förhållandena i Bohuslän, och med denna svarta färg har han här liksom tidigare i sin tidning försökt dölja den enkla sanningen, att arbetslöshetskommissionen konstaterat ett flertal felaktigheter. Han relaterade för kammaren ett par särskilt markanta fall. Jag har inte lyckats identifiera det ena i arbetslöshetskommissionens officiella rapport, men beträffande det andra låter det på följande sätt i arbetslöshetskommissionens redogörelse till socialministern: »Anmärkningar hade gjorts mot att en man med sju barn, vars </w:t>
      </w:r>
      <w:r>
        <w:rPr>
          <w:b/>
        </w:rPr>
        <w:t>hustru²</w:t>
      </w:r>
      <w:r>
        <w:rPr>
          <w:b w:val="0"/>
        </w:rPr>
        <w:t xml:space="preserve"> åtnjöt lasarettsvård och som lämnat reservarbete på egen begäran, omedelbart därefter medgivits dagunderstöd. Ur kommissionens material kunde utläsas endast, att mannen lämnat arbetet på egen begäran. Sedan kommittén meddelat, att uppgiften härom vore felaktig, då han hemkallats och ersatts med annan person, s. k. skiftning, lät kommissionen i detta såväl som i tre liknande fall vid förklaringen bero. Att så skett har pressen icke meddelat allmänheten.» Sålunda har det här inträffat, att arbetslöshetskommissionen har begärt en förklaring från arbetslöshetskommittén i Brastad och efter erhållen förklaring godtagit densamma och avskrivit hela ärendet. Herr Lindström har inte ansett lämpligt att göra någon dementi. Jag förmodar, att han har så studerat den officiella rapporten, att den inte kan vara honom obekant, men likväl finna vi att han allt fortfarande i forcerade ordalag slår</w:t>
        <w:br/>
        <w:br/>
        <w:t>samma fanfarer på sin trumma — ett uttryck för herr Lindströms enklare valmötesmetoder.</w:t>
        <w:br/>
        <w:br/>
        <w:t>Om jag i övrigt följer denna officiella rapport — jag ber om ursäkt, herr talman, att jag måste något läsa upp ur densamma — så framgår därav, att</w:t>
        <w:br/>
        <w:br/>
        <w:t>till den lokala arbetslöshetskommittén i Brastad till förklaring utställts sammanlagt 286 anmärkningar, varav 251 berörde fall, där återbetalning av stats bidrag kunnat ifrågakomma. Dessa anmärkningar delgåvos länsstyrelsen, som omedelbart återkallade sina förordnanden för ordföranden och revisorn. Kommittén godkände i 92 fall anmärkningarna reservationslöst. I 52 fall lämnades tillfredsställande förklaring, varför kommissionen lät därvid bero. I 95 fall hade samma person kvitterat tvenne gånger under en utbetalningsperiod, varigenom högre understödsbelopp utbetalats än föreskrifterna medgiva. Kommittén gjorde gällande, att utbetalning motiverats med att den dagunderstödde icke erhållit understöd under nästföregående eller nästföljande period. Kommissionen har icke funnit det försvarligt, att en person kvitterar dubbelt så stort understöd som det högsta medgivna.</w:t>
        <w:br/>
        <w:br/>
        <w:t>Allt detta vill nu herr Lindström bagatellisera; det är ingenting att tala om, säger han. En återbetalning av 1,873 kronor på en summa av 1 runt tal 973,000 är det ju bara löjligt att tala om! Förstår inte herr Lindström, att, som jag i mitt första anförande i dag uttryckligen framhöll, det icke är beloppets storlek som är anmärkningsvärt, utan det anmärkningsvärda är herr Lindströms och andra tidningsredaktörers angrepp på arbetslöshetskommissionen, de beskyllningar han har framställt och det försvar för ett felaktigt förfarande som han har presterat. Det är detta som jag velat fastslå och brännmärka. Är det möjligen så att herr Lindström önskar en hjälpverksam-</w:t>
        <w:br/>
        <w:br/>
        <w:t>Statsverkspropositionen. (Forts.) het med upp till 96 procents statsbidrag utan någon som helst kontroll? Herr Lindström har genom sitt anförande visat riksdagen och Sveriges folk, att han hellre utnyttjar ett landskaps nödläge till partipolitisk agitation än — fastän han själv är delaktig 1 riksdagens enhälliga beslut — söker ställa till rätta.</w:t>
        <w:br/>
        <w:br/>
        <w:t>I själva saken, herr talman, har jag endast att fortfarande konstatera herr socialministerns tystnad.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