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773</w:t>
      </w:r>
    </w:p>
    <w:p>
      <w:r>
        <w:rPr>
          <w:b/>
        </w:rPr>
        <w:t xml:space="preserve">Datum: </w:t>
      </w:r>
      <w:r>
        <w:t>1936-04-04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rPr>
        <w:t>änka²</w:t>
      </w:r>
      <w:r>
        <w:rPr>
          <w:b w:val="0"/>
        </w:rPr>
        <w:t>, uppbära en årlig pension av 384 kronor.</w:t>
      </w:r>
    </w:p>
    <w:p>
      <w:pPr>
        <w:pStyle w:val="Heading2"/>
      </w:pPr>
      <w:r>
        <w:t>2. Torsten Ström (Socialdemokraterna, man)</w:t>
      </w:r>
    </w:p>
    <w:p>
      <w:r>
        <w:rPr>
          <w:b w:val="0"/>
        </w:rPr>
        <w:t>Vid denna punkt har reservation avgivits av mig jämte några andra utskottsledamöter. Vi ha ansett, att denna fråga är av den beskaffenhet, att det inte bör vara någon risk att bifalla den här föreliggande motionen. Vi ha hemställt, att motionen måtte bifallas så till vida, att en pension av 384 kronor beviljas den person, som det här gäller.</w:t>
        <w:br/>
        <w:br/>
        <w:t>Jag ber, herr talman, att få yrka bifall till reservationen.</w:t>
      </w:r>
    </w:p>
    <w:p>
      <w:pPr>
        <w:pStyle w:val="Heading2"/>
      </w:pPr>
      <w:r>
        <w:t>3. Charles Lindley (Socialdemokraterna, man)</w:t>
      </w:r>
    </w:p>
    <w:p>
      <w:r>
        <w:rPr>
          <w:b w:val="0"/>
        </w:rPr>
        <w:t xml:space="preserve">Herr talman! Då den föregående talaren säger, att det inte medför någon risk att bifalla den vid punkten i fråga framförda reservationen, så vågar jag bestrida detta och framhålla, att det föreligger en mycket stor risk. Ty vad gäller frågan egentligen? Jo, frågan gäller, huruvida pension skall beviljas åt en efterlämnad </w:t>
      </w:r>
      <w:r>
        <w:rPr>
          <w:b/>
        </w:rPr>
        <w:t>änka²</w:t>
      </w:r>
      <w:r>
        <w:rPr>
          <w:b w:val="0"/>
        </w:rPr>
        <w:t xml:space="preserve">, som har ingått giftermål med en person efter det, att han lämnat statstjänst, alltså efter det, att han själv har fått pension. Det har förelegat en hel del sådana fall, där man har trott, att det vore möjligt, att en pensionerad statstjänsteman genom att ingå äktenskap efter det att han blivit pensionerad, skulle på </w:t>
      </w:r>
      <w:r>
        <w:rPr>
          <w:b/>
        </w:rPr>
        <w:t>hustrun²</w:t>
      </w:r>
      <w:r>
        <w:rPr>
          <w:b w:val="0"/>
        </w:rPr>
        <w:t xml:space="preserve"> överflytta rättigheten att uppbära pension, och det är dessa konsekvenser, som vi här äro ganska rädda för.</w:t>
        <w:br/>
        <w:br/>
        <w:t xml:space="preserve">Jag skall villigt erkänna, att det i det föreliggande fallet kan anläggas en del behjärtansvärda synpunkter, det är inte tu tal om det. Vederbörande har ju tjänstgjort som </w:t>
      </w:r>
      <w:r>
        <w:rPr>
          <w:b/>
        </w:rPr>
        <w:t>hushållerska³</w:t>
      </w:r>
      <w:r>
        <w:rPr>
          <w:b w:val="0"/>
        </w:rPr>
        <w:t xml:space="preserve"> i hemmet under den föregående </w:t>
      </w:r>
      <w:r>
        <w:rPr>
          <w:b/>
        </w:rPr>
        <w:t>hustruns²</w:t>
      </w:r>
      <w:r>
        <w:rPr>
          <w:b w:val="0"/>
        </w:rPr>
        <w:t xml:space="preserve"> sjukdom och även vårdat en </w:t>
      </w:r>
      <w:r>
        <w:rPr>
          <w:b/>
        </w:rPr>
        <w:t>dotter²</w:t>
      </w:r>
      <w:r>
        <w:rPr>
          <w:b w:val="0"/>
        </w:rPr>
        <w:t xml:space="preserve"> till pensionären i fråga. Men saken är den, att i och med det, att man tar hänsyn till just sådana omständigheter, öppnar man portarna på nytt för detta, som vi här ha försökt att hindra och stoppa, nämligen att pensionerade statstjänstemän eller statsanställda ingå äktenskap efter det, att de blivit pensionerade, för att på den efterlevande </w:t>
      </w:r>
      <w:r>
        <w:rPr>
          <w:b/>
        </w:rPr>
        <w:t>änkan²</w:t>
      </w:r>
      <w:r>
        <w:rPr>
          <w:b w:val="0"/>
        </w:rPr>
        <w:t xml:space="preserve"> överflytta pensionsrätten.</w:t>
        <w:br/>
        <w:br/>
        <w:t>Därför, herr talman, yrkar jag bifall till utskottets hemställan.</w:t>
        <w:br/>
        <w:br/>
        <w:t>att riksdagen ville anslå medel till avlöning av en extra förste bibliotekarie med belopp motsvarande vad den ordinarie åtnjöte under förbehåll att frågan om den nya befattningens bibehållande upptoges till förnyad prövning när den ordinarie befattningen bleve ledig,</w:t>
        <w:br/>
        <w:br/>
        <w:t>att innehavaren av denna extra förste bibliotekariebefattning skulle få samma pensionsrätt som ordinarie förste bibliotekarie,</w:t>
        <w:br/>
        <w:br/>
        <w:t>att till extra förste bibliotekarie endast den skulle utses, som styrkt statsvetenskapliga eller juridiskt vetenskapliga kunskaper och förmåga av vetenskapligt eget arbete,</w:t>
        <w:br/>
        <w:br/>
        <w:t>att det skulle åligga extra förste bibliotekarie att ansvara för utredningar, som under pågående riksdag begärdes av riksdagens ledamöter eller utskott, att tillhandagå riksdagens ledamöter och utskott med litteraturupplysningar och råd i frågor, som av riksdagen behandlades, att verkställa komplettering av ofullständiga äldre riksdagsregister och upplägga nya sådana, att uppgöra registret till löpande års riksdagstryck och för särskild utgivning i tryck redigera den årliga översikten av riksdagens arbete, att utarbeta bibliografier i aktuella lagstiftningsoch beskattningsfrågor till ledning vid sådana frågors beredning även mellan riksdagarna, att med tillhjälp av litteratur och arkiv bearbeta riksdagstrycket såväl ur personsom saksynpunkt, att för överbibliotekarien framlägga förslag till bokinköp att av denne efter Pprövning föreläggas styrelsen, att i den mån arbetstiden så medgåve deltaga även 1 det bibliotekstekniska arbetet särskilt med bokbeståndets ordnande ur statsvetenskaplig-juridisk synpunkt och dess katalogisering på sätt styrelsen efter ER av överbibliotekarien skulle äga bestämma, att vara föreståndare för arkivet.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