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2096</w:t>
      </w:r>
    </w:p>
    <w:p>
      <w:r>
        <w:rPr>
          <w:b/>
        </w:rPr>
        <w:t xml:space="preserve">Datum: </w:t>
      </w:r>
      <w:r>
        <w:t>1937-04-13</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Per Albin Hansson (Socialdemokraterna, man)</w:t>
      </w:r>
    </w:p>
    <w:p>
      <w:r>
        <w:rPr>
          <w:b w:val="0"/>
        </w:rPr>
        <w:t>Herr talman! Jag är medansvarig i tre av de beslut, mot vilka konstitutionsutskottet gjort anmärkning. Hade jag icke varit detta, skulle jag ändå ha frestats att ta till orda för att solidarisera mig med de för besluten ansvariga. Detta icke blott därför att jag finner anmärkningarna ogrundade. Med hänsyn till det ansvar jag för närvarande bär och väl efter denna dechargedebatt fortfarande kommer att bära, är det mig också angeläget klargöra, att jag anser hittillsvarande praxis för medborgarrättsärendenas avgörande fortfarande böra tillämpas. Någon ändring av principiell natur har så vitt jag kan finna konstitutionsutskottet icke påkallat.</w:t>
        <w:br/>
        <w:br/>
        <w:t>Om de anmärkta fallen kan jag yttra mig kort, då jag förutsätter att kam-</w:t>
        <w:br/>
        <w:br/>
        <w:t xml:space="preserve">Ang. granskning av statsrådsprotokollen. (Forts.) marens ledamöter tagit del av utskottets memorial. Under a och b hänför sig utskottet till kravet på hederlig vandel såsom villkor för erhållande av svenskt medborgarskap. Utskottet går emellertid icke så långt, att det anser de påtalade bristerna i vederbörandes vandel vara anledning att för all tid avstänga dem från medborgarskapet. I fallet a anser utskottet rimligt, att sökanden efter avsevärd tid efter förbrytelsen skulle ha gjort sig känd för en hederlig vandel innan hans ansökan bifallits. I fallet b finner utskottet att ansökan icke bort bifallas så kort tid — knappa tre år — efter straffets utstående. Det är sålunda i båda fallen för utskottet en fråga om tidpunkten för ansökningarnas bifallande, en lämplighetsfråga alltså, man kan också säga en smakfråga. Jag skall icke uttala mig om, huruvida det ingår i konstitutionsutskottets höga uppgift att resa tvist i sådant fall. Men jag fäster uppmärksamheten vid att utskottet icke kunnat giva anvisning om hur en annan praxis bör grundas. Det har icke kunnat angiva vilken tidpunkt som skall anses såsom den lämpliga. Själv anser jag att om, såsom i fallet a, 17 år förflutit sedan vederbörande ådömts bötesstraff, detta straff icke längre skall läggas honom till last. I fallet b är att påpeka, att om vederbörande svenskfödda </w:t>
      </w:r>
      <w:r>
        <w:rPr>
          <w:b/>
        </w:rPr>
        <w:t>kvinna¹</w:t>
      </w:r>
      <w:r>
        <w:rPr>
          <w:b w:val="0"/>
        </w:rPr>
        <w:t xml:space="preserve"> sökt befrielse från sitt tyska medborgarskap, skulle </w:t>
      </w:r>
      <w:r>
        <w:rPr>
          <w:b/>
        </w:rPr>
        <w:t>hon²</w:t>
      </w:r>
      <w:r>
        <w:rPr>
          <w:b w:val="0"/>
        </w:rPr>
        <w:t xml:space="preserve"> automatiskt ha återvunnit sitt svenska. Hade den nuvarande medborgarskapslagen varit gällande vid </w:t>
      </w:r>
      <w:r>
        <w:rPr>
          <w:b/>
        </w:rPr>
        <w:t>hennes²</w:t>
      </w:r>
      <w:r>
        <w:rPr>
          <w:b w:val="0"/>
        </w:rPr>
        <w:t xml:space="preserve"> ingående av äktenskap, skulle </w:t>
      </w:r>
      <w:r>
        <w:rPr>
          <w:b/>
        </w:rPr>
        <w:t>hon²</w:t>
      </w:r>
      <w:r>
        <w:rPr>
          <w:b w:val="0"/>
        </w:rPr>
        <w:t xml:space="preserve"> aldrig ha förlorat sitt svenska medborgarskap. Dessa omständigheter synas förtjäna stort beaktande vid bedömande av Kungl. Maj:ts beslut att återgiva </w:t>
      </w:r>
      <w:r>
        <w:rPr>
          <w:b/>
        </w:rPr>
        <w:t>henne²</w:t>
      </w:r>
      <w:r>
        <w:rPr>
          <w:b w:val="0"/>
        </w:rPr>
        <w:t xml:space="preserve"> medborgarskapet tre år efter det </w:t>
      </w:r>
      <w:r>
        <w:rPr>
          <w:b/>
        </w:rPr>
        <w:t>hon²</w:t>
      </w:r>
      <w:r>
        <w:rPr>
          <w:b w:val="0"/>
        </w:rPr>
        <w:t xml:space="preserve"> avtjänat straff för fosterfördrivning. I båda fallen kan jag alltså icke dela utskottets synpunkt ens i fråga om den lämpliga tidpunkten. Är det för övrigt förenligt med den humana anda, som kommit riksdagen att besluta borttagande av vanfrejdsstraffet, att i fall som dessa låta en mångårig påföljd verka?</w:t>
        <w:br/>
        <w:br/>
        <w:t>Anmärkningen under ce riktar sig mot en regering, i vilken icke jag var medlem. Den bör emellertid beröras i detta sammanhang. Anmärkningen hänför sig också till frågan om hederlig vandel. I detta fall är vederbörande sökande icke ens straffad. Här kan därför med om möjligt ännu större skäl göras gällande samma synpunkter som jag anfört beträffande de föregående fallen.</w:t>
        <w:br/>
        <w:br/>
        <w:t>T fallet d har utskottet anmärkt på att en person, som häftat för skatt, blivit upptagen till svensk medborgare. Vid tiden för ansökningens prövning hade sökanden betalat skatterna för de sista tio åren men häftade för vissa skatter som lågo längre tillbaka i tiden. Kungl. Maj:t har vid sitt beslut i detta fall endast följt en praxis som tillämpats av alla regeringar sedan många år tillbaka. Utskottet har icke tidigare framställt anmärkning mot denna praxis. Såvitt jag kan finna påyrkar icke heller nu utskottet att praxis skall ändras. Den gjorda anmärkningen blir därför så mycket svårare att förstå. Den har ju också tillkommit genom lottning!</w:t>
        <w:br/>
        <w:br/>
        <w:t>Min mening är att varken villkoren för medborgarrätt eller praxis vid deras tillämpning äro för milda. Jag vill icke heller tolka utskottets anmärkningar såsom syftande till en skärpning av villkor och praxis. Jag nöjer mig med att fastslå detta. Varför utskottet under dessa förhållanden gjort sina anmärkningar få dess representanter försöka förklara. Jag kan det inte.</w:t>
      </w:r>
    </w:p>
    <w:p>
      <w:pPr>
        <w:pStyle w:val="Heading2"/>
      </w:pPr>
      <w:r>
        <w:t>2. Harald Hallen (Socialdemokraterna, man)</w:t>
      </w:r>
    </w:p>
    <w:p>
      <w:r>
        <w:rPr>
          <w:b w:val="0"/>
        </w:rPr>
        <w:t>Herr talman! Jag vill redan från början fästa kammarens uppmärksamhet på att det resultat, vartill vårt utskott kommit efter sitt flera månader långa arbete, ingalunda är kvantitativt omfattande. Vidare vill jag säga, att ifall någon, såsom det på en del håll i pressen antytts, skulle vara av den uppfattningen, att utskottet skulle ha brustit i objektivitet i sitt gransk-</w:t>
        <w:br/>
        <w:br/>
        <w:t>Ang. granskning av statsrådsprotokollen. (Forts.) ningsarbete, så tror jag mig kunna avvisa en sådan misstanke genom att framhålla, att vissa av de anmärkningar, som här äro gjorda, omfattas av medlemmar av samtliga partier. Vad beträffar de fyra anmärkningar, som herr statsministern nyss helt kort vidrörde, har den första biträtts av tre socialdemokrater. Jag tror därför att man kan säga, att utskottet försökt att så opolitiskt och så objektivt som möjligt gå till denna sin granskning.</w:t>
        <w:br/>
        <w:br/>
        <w:t>Jag kan instämma med herr statsministern så till vida, att de anmärkningar, som här lagts fram, inte äro av så värst stor och uppseendeväckande natur. Jag vill redan från början ha sagt ifrån, att dessa anmärkningar inte på något sätt få uppfattas såsom ett uttryck för en inom utskottet stegrad olust, då det gäller att överhuvud taget naturalisera utlänningar. Vi veta mycket väl, att det härvidlag måste råda reciproka förhållanden, och att man inte gentemot utlänningar får vidtaga åtgärder, som kunna ha verkningar, vilka i främmande länder kunna ha en motsatt verkan för där bosatta svenskar. Jag vill också påpeka, att i de fall, då utskottet så pass mangrant som skett samlats om en anmärkning — detta gäller inte det fjärde fallet utan de tre första — så har utskottet inte ifrågasatt, att de människor, som det där gäller, skulle mista vare sig uppehållstillstånd eller arbetstillstånd här 1 riket, utan att frågan gäller om de tillika skola upptagas som svenska medborgare. Det förhåller sig mycket riktigt som herr statsministern förmodade på det sättet, att man härvidlag inte behöver befara någon åstundan från utskottets sida att skärpa villkoren. Nej, dessa villkor skola naturligtvis inte skärpas och inte heller göras slappare, utan man bör strikt följa lagens bestämmelser. Så mycket tror jag mig emellertid kunna uttala som att det nog framkommit inom utskottet en önskan att när det gäller människor, som antingen ha ett kriminellt förflutet eller som på ett eller annat sätt lida av moraliska skavanker, bör största möjliga återhållsamhet iakttagas, detta så att förstå, att man inte jämt skall praktisera försoningens och förlåtelsens princip, utan att man naturligtvis bör stå ganska kritisk och handla med mycken varsamhet och försiktighet. Jag vet mycket väl, att man i de speciella fallen kan anföra en hel del, som kan tala för ett friare bedömande såsom till exempel i fråga om den här mannen från Estland, som begått sin försyndelse för 17 år sedan, och att den tiden månde räcka. Jag erkänner, att det är en lämplighetsfråga om man bör vänta i 17, 18 eller 20 år. Utskottet har också velat betona, att man bör dröja ganska länge och att man bör ställa sig mycket tveksam, när det gäller dylika främmande element.</w:t>
        <w:br/>
        <w:br/>
        <w:t xml:space="preserve">I det andra fallet gäller det en </w:t>
      </w:r>
      <w:r>
        <w:rPr>
          <w:b/>
        </w:rPr>
        <w:t>kvinna¹</w:t>
      </w:r>
      <w:r>
        <w:rPr>
          <w:b w:val="0"/>
        </w:rPr>
        <w:t xml:space="preserve">, som ådömts ett års straffarbete. Det kan visserligen sägas, att </w:t>
      </w:r>
      <w:r>
        <w:rPr>
          <w:b/>
        </w:rPr>
        <w:t>hon²</w:t>
      </w:r>
      <w:r>
        <w:rPr>
          <w:b w:val="0"/>
        </w:rPr>
        <w:t xml:space="preserve"> var svenskfödd, och att </w:t>
      </w:r>
      <w:r>
        <w:rPr>
          <w:b/>
        </w:rPr>
        <w:t>hon²</w:t>
      </w:r>
      <w:r>
        <w:rPr>
          <w:b w:val="0"/>
        </w:rPr>
        <w:t xml:space="preserve"> bott här i landet i all sin tid och endast genom ett tidigt upplöst äktenskap var tysk medborgare. Det kan också sägas, att enligt nya medborgarskapslagen skulle </w:t>
      </w:r>
      <w:r>
        <w:rPr>
          <w:b/>
        </w:rPr>
        <w:t>hon²</w:t>
      </w:r>
      <w:r>
        <w:rPr>
          <w:b w:val="0"/>
        </w:rPr>
        <w:t xml:space="preserve"> automatiskt ha fått behålla sitt svenska medborgarskap. Jag anser emellertid, att dessa synpunkter inte äro relevanta härvidlag, utan att vi ha att renodla fallen och säga: bör överhuvud taget en person, som av ena eller andra anledningen inte är svensk medborgare, redan så snart som 3 år efter utståndet straffarbete erhålla svensk medborgarrätt?</w:t>
        <w:br/>
        <w:br/>
        <w:t>I fråga om det tredje fallet invände herr statsministern, att det därvidlag dock gällde en person, som inte varit formligt straffad. Detta är mycket riktigt. Men vad menas då med hederlig vandel? Man kan ha gjort sig skyldig till ohederlig vandel utan att man blivit ådömd straff. Det driver omkring på den svenska landsbygden en hel del folk av utländsk stam som säljer klockor, textilier m. m. och som det kan vara föga lönt att ge sig 1 diskussion med. Man märker med andra ord, att många av dem inte äro så vidare överdrivet hederliga och justa i sina påståenden. Låt vara att det inte kommit</w:t>
        <w:br/>
        <w:br/>
        <w:t>Emellertid, herr talman, är det en annan sak i utskottsutlåtandet, som jag skulle vilja fästa uppmärksamheten på, och det är själva uppställningen utav vårt utlåtande. Denna sak hör visserligen inte till den föredragna punkten, men den sammanhänger med utlåtandet i dess helhet, och jag tror mig därför ha talmannens tillstånd att redan nu påpeka ett par synpunkter. Som kammaren finner, ha vi tillåtit oss att söka inaugurera en ny form för att fästa riksdagens uppmärksamhet på förhållanden, som vi anse i det ena eller andra avseendet behöva ändras. Tidigare har det förekommit, att vi haft en s. k. ingresserinran till utskottets utlåtande, där man antingen påtalat en del formella oegentligheter eller påpekat, att förut gjorda anmärkningar inte blivit tillräckligt uppmärksammade av vederbörande statsråd. Här framkommer emellertid en annan metod, och det är den, att man gör en erinran och ett meddelande till riksdagen om förhållanden, som man anser böra ändras. Jag vill inte ingå 1 sakfrågan — den komma vi till om en stund; alla veta, att det gäller landshövdingarna och deras uppdrag och sysslor — men jag vill bara rent principiellt ha sagt redan nu, att jag vill ifrågasätta, om inte detta är en mera tidsenlig form för att göra erinringar, där man inte tillgriper 8 107 i regeringsformen och beskyller ett statsråd för att inte ha visat tillräckligt nit och skicklighet eller inte ha iakttagit rikets sannskyldiga nytta. Man kan så att säga i en modestare form göra sin erinran angående vissa påtalade förhållanden.</w:t>
        <w:br/>
        <w:br/>
        <w:t>Jag vet, att det kan finnas en risk med att introducera en dylik metod. Ivriga granskare i ett utskott kunna vilja föra fram något slags anmärkning, om vars befogenhet det kan vara mycket delade meningar, och de kanske vilja rädda sig bakom detta, att man åtminstone kan göra en ingresserinran. Den risken för missbruk föreligger, men med vaksamhet och klokt aktgivande kan nog ett utskott hålla tillbaka sådana risker. Själva idén om en både mjukare och samtidigt mera tidsenlig form för erinringar tror jag är synnerligen beaktansvärd och lämplig att föra fram. Det har vid något tidigare tillfälle här i riksdagen uttalats, att tillämpningen av $ 107 är som ett gammalt ganska rostigt muskedunder, som inte gör effekt, och det ligger kanske inte så litet sanning i det. Jag tror mig kunna säga, att åtminstone det nuvarande konstitutionsutskottet nog är benäget att i fortsättningen använda denna mera tidsenliga form för att göra erinringar inför riksdagen.</w:t>
      </w:r>
    </w:p>
    <w:p>
      <w:pPr>
        <w:pStyle w:val="Heading2"/>
      </w:pPr>
      <w:r>
        <w:t>3. Thorwald Bergquist (Folkpartiet, man)</w:t>
      </w:r>
    </w:p>
    <w:p>
      <w:r>
        <w:rPr>
          <w:b w:val="0"/>
        </w:rPr>
        <w:t>Herr talman! Under moment B c har konstitutionsutskottets majoritet riktat en anmärkning mot statsråden Pehrsson-Bramstorp och Westman, förutvarande statsrådet Centerwall och mig för behandlingen av ett medborgarskapsärende. Hans excellens herr statsministern har redan något berört även detta fall, men då jag förberett ärendet i justitiedepartementet och alltså är närmast ansvarig för beslutet, ber jag att med några ord få</w:t>
        <w:br/>
        <w:br/>
        <w:t xml:space="preserve">Det gäller i detta ärende en nu 42-årig man samt hans </w:t>
      </w:r>
      <w:r>
        <w:rPr>
          <w:b/>
        </w:rPr>
        <w:t>hustru²</w:t>
      </w:r>
      <w:r>
        <w:rPr>
          <w:b w:val="0"/>
        </w:rPr>
        <w:t xml:space="preserve"> och två minderåriga barn. Mannen kom till Sverige år 1920 och hade alltså vid den tid, då han blev svensk medborgare, oavbrutet vistats i landet i 16 år. Han har hela tiden, så vitt utredningen giver vid handen, haft ordnat arbete här och inte vid något tillfälle fallit det allmänna eller någon enskild till last utan försörjt sig och sin familj. Sedan början av år 1936 har han en fast och förmånlig anställning enligt ett kontrakt på tre år med en inkomst av 12,000 kronor, varjämte arbetsgivaren betalar hans skatter. Under de sista åren har han sparat ihop några slantar, så att han för barnens räkning har i bank insatta ett par tusen kronor. Han har också ordnat för barnens framtid genom betryggande livförsäkringar.</w:t>
        <w:br/>
        <w:br/>
        <w:t>Konstitutionsutskottet har anmärkt, att denne man enligt utskottets mening inte borde ha upptagits till svensk medborgare därför att han inte fyllde det krav, som måste ställas på att han och hans familj fört en hedrande vandel under den tid de vistats i Sverige. Konstitutionsutskottet framhåller, att det inte är tillräckligt, att vederbörande inte varit straffad under denna tid, utan att man måste taga hänsyn även till andra omständigheter.</w:t>
        <w:br/>
        <w:br/>
        <w:t>I detta hänseende delar jag utskottets uppfattning. Det är givet, att man inte bara skall undersöka, huruvida vederbörande varit straffad eller ej, utan också taga hänsyn till huruvida vederbörande, bortsett från detta, fört en hedrande vandel. Men enligt mitt förmenande är konstitutionsutskottets anmärkning i detta fall inte så starkt grundad som den borde vara. MHärvidlag ha inte förekommit sådana omständigheter, att man kan säga, att det är utrett i målet, att vederbörande inte fört en hedrande vandel.</w:t>
        <w:br/>
        <w:br/>
        <w:t>Det är huvudsakligen tre omständigheter i fråga om denna familj, som utskottet pekar på, då det gäller att fastslå, att fel begåtts i detta avseende. Det påpekas, att mannen under viss tid haft dåliga affärer, att han haft svårt att fullgöra sina förpliktelser och att det t. o. m. en gång har gått till utmätning, fastän utmätningen sedan upphävts, då han lyckats ordna upp affären. Det är riktigt, att det tycks framgå av utredningen, att det varit en del svårigheter med avseende på mannens affärer tidigare. Men det är att märka, att han under hela den tid han vistats i landet försörjt sig och sin familj utan att, såvitt man kan finna, behöva anlita någon utomstående. Hans ekonomiska ställning är nu fullt rangerad enligt vad som framgår av utredningen. Han har, som jag nämnde, en garanterad årsinkomst av 12,000 kronor. Hans nuvarande arbetsgivare, som givit honom kontrakt på tre år, säger klart och tydligt ifrån, att han har att räkna med fortsatt anställning. Den omständigheten, att en person för några år sedan haft vissa svårigheter att fullgöra sina betalningsförbindelser, kan inte åberopas, då det gäller att fastslå, huruvida mannen fört en hedrande vandel, så länge det inte finns något direkt ojuste att peka på. Och det finns det inte i detta fall.</w:t>
        <w:br/>
        <w:br/>
        <w:t>Huvudanmärkningen från konstitutionsutskottets sida är emellertid, att det skulle av utredningen i målet framgå, att denna person i en fastighetsaffär 1929 uppträtt ojuste. Han skulle vid den tiden ha sålt en villa utanför Stockholm och då ha till köparen lämnat vissa uppgifter om att räntorna voro betalda och alla hans skyldigheter fullgjorda, vilket sedan visat sig inte ha varit fallet. Detta angiver utskottet så, som om det skulle ha varit objektivt utrett, att uppgiften vore riktig. Det är den emellertid inte alls. Vad som förekommer i utredningen är, att mannens motpart i fastighetsaffären påstått, att vissa oriktiga uppgifter lämnats. Det är alltså inte något objektivt fastslaget. Man kan inte bygga ett omdöme på detta, att en person, som haft en</w:t>
        <w:br/>
        <w:br/>
        <w:t xml:space="preserve">Den tredje omständighet, som konstitutionsutskottet också tycks åberopa, är den, att </w:t>
      </w:r>
      <w:r>
        <w:rPr>
          <w:b/>
        </w:rPr>
        <w:t>hustrun²</w:t>
      </w:r>
      <w:r>
        <w:rPr>
          <w:b w:val="0"/>
        </w:rPr>
        <w:t xml:space="preserve"> för en fjorton, femton år sedan var misstänkt för stöld. Det förekommer i utredningen inte något annat än att </w:t>
      </w:r>
      <w:r>
        <w:rPr>
          <w:b/>
        </w:rPr>
        <w:t>hustrun²</w:t>
      </w:r>
      <w:r>
        <w:rPr>
          <w:b w:val="0"/>
        </w:rPr>
        <w:t xml:space="preserve"> blivit hörd av polisen såsom misstänkt för stöld. Jag tycker, att det skulle vara upprörande, om man skulle bygga ett avgörande på den omständigheten, att en människa varit hörd av polisen för ett brott eller en förseelse. Detta är inte något stöd för att denna människa gjort sig skyldig till brottet eller förseelsen, och man kan inte taga någon som helst hänsyn till sådant vid prövning av en fråga som denna.</w:t>
        <w:br/>
        <w:br/>
        <w:t>Detta är alltså de tre omständigheter, som skulle tyda på att vederbörande inte fört hedrande vandel. Ingen av dem kan åberopas såsom något hållbart skäl mot beviljande av svenskt medborgarskap, och man kan inte grunda någon anmärkning på dem. Däremot finns det positiva omständigheter härvidlag, som tyda på att dessa människor äro skötsamma, ha varit ordentliga och fortfarande äro det. De ha kommit med ett par tre intyg från olika personer, som säga, att de gjort sig kända för skötsamhet och ordentlighet och att det inte funnits någon som helst anmärkning på deras uppträdande. Därtill komner, att de myndigheter, som yttrat sig i frågan, inte haft något att erinra mot att vederbörande upptogos till svenska medborgare. Magistraten i den stad, där familjen nu vistas och som alltså närmast bör känna till den, har förklarat sig inte ha något att erinra, och överståthållarämbetet och länsstyrelsen 1 Värmlands län ha förklarat detsamma. Under sådana förhållanden tyckte jag inte, att det var något att tveka om i detta ärende, utan ansåg. att a fanns fullt objektiva skäl för att vederbörande skulle bli svenska med-</w:t>
        <w:br/>
        <w:br/>
        <w:t>Jag kan inte finna, om man objektivt bedömer saken, att här förelupit något, som kan giva anledning till anmärkning. Följaktligen kan jag inte heller se, att de som haft att taga befattning med ärendet i något avseende åsidosatt hänsynen till rikets sannskyldiga nytta.</w:t>
      </w:r>
    </w:p>
    <w:p>
      <w:pPr>
        <w:pStyle w:val="Heading2"/>
      </w:pPr>
      <w:r>
        <w:t>4. Erik Fast (Socialdemokraterna, man)</w:t>
      </w:r>
    </w:p>
    <w:p>
      <w:r>
        <w:rPr>
          <w:b w:val="0"/>
        </w:rPr>
        <w:t>Herr talman! När regeringen här kommer till tals med kammaren och utskottets v. ordförande, kanske det också är tillbörligt, att det sägs några ord från deras sida, som stå som reservafter vid dessa anmärkningspunkter.</w:t>
        <w:br/>
        <w:br/>
        <w:t>Rörande den sak utskottets v. ordförande tog upp angående själva memorialets uppställning skall jag återkomma när vi komma fram till ifrågavarande punkter. Jag uppehåller mig nu sålunda uteslutande vid punkterna a—d.</w:t>
        <w:br/>
        <w:br/>
        <w:t>Det har i debatten förnekats av utskottets v. ordförande, att det vore fråga om att man önskade en skärpt tillämpning av bestämmelserna ifrån Kungl. Maj:ts sida vid beviljande av svenskt medborgarskap åt utländsk undersåte. Jag blev glad över detta uttalande. Men jag blev mindre glad då jag hörde</w:t>
        <w:br/>
        <w:br/>
        <w:t>Ang. granskning av statsrådsprotokollen. (Forts.) utskottsordföranden motivera utskottets anmärkningar här. När reservationerna skrevos, förelåg inte den utskrift för oss tillgänglig, som ligger på kammarens bord. I den utskrift, som var tillgänglig för mig, fanns det verkligen rent och klart uttryck för att man önskar en skärpt tillämpning. Man måste också se anmärkningarna mot bakgrunden av de följande reservationerna, för vilka inte majoritet kunnat uppnås. Det finns en majoritet inom majoriteten för en mera skärpt tillämpning, men den utgör dessbättre tydligen inte majoriteten inom utskottet — och jag hoppas inte heller i riksdagen.</w:t>
        <w:br/>
        <w:br/>
        <w:t>Vad beträffar det här gjorda uttalandet, att Kungl. Maj:t inte har rättighet att dispensera från medborgarskapslagens krav om hederlig vandel, så har redan hans excellens herr statsministern påpekat, hurusom man kommer in på rena omdömesfrågor i dylika fall. Då jag läst kommentaren till lagen liksom också själva lagtexten, bestrider jag den tolkning, som utskottet presterat i detta sitt uttalande. Men om man inte avser en princip här, vad menar då utskottet med de gjorda anmärkningarna? Jag måste säga, att sedda var och en för sig äro de bland det futtigaste jag under denna tid varit med om från utskottets sida. Och det är inte så litet sagt. Utskottets v. ordförande framhöll, att visserligen skola vi ha ett förlåtande sinnelag och föra en försoningens politik — men först långt efteråt. Denna försoningens politik får inte vara så beskaffad, att man glömmer ett straff, som ådömts vederbörande, ett straff på 500 kronors böter. Det är inte försonat efter 17 å 18 år, utan det skall väl gå 20 år, innan så sker. Skall det vara någon skillnad i tiden, måste det väl vara de 20 åren man syftar till. Då ligger redan i detta ordförandens uttalande en önskan om en skärpning av ganska betydande beskaffenhet. Det komma vi inte ifrån.</w:t>
        <w:br/>
        <w:br/>
        <w:t xml:space="preserve">Sedan bygger man i dessa olika punkter upp sitt angrepp i fråga om vederbörandes hederliga vandel på lösa uttalanden i olika polisrapporter om att den och dens </w:t>
      </w:r>
      <w:r>
        <w:rPr>
          <w:b/>
        </w:rPr>
        <w:t>hustru²</w:t>
      </w:r>
      <w:r>
        <w:rPr>
          <w:b w:val="0"/>
        </w:rPr>
        <w:t xml:space="preserve"> varit nedkallad i polisen för att höras i det ena fallet om en eldsvåda, i det andra fallet om en stöld. När det gäller eldsvådan, står det inte ens, att det var fråga om att </w:t>
      </w:r>
      <w:r>
        <w:rPr>
          <w:b/>
        </w:rPr>
        <w:t>hon²</w:t>
      </w:r>
      <w:r>
        <w:rPr>
          <w:b w:val="0"/>
        </w:rPr>
        <w:t xml:space="preserve"> själv begått brottet. </w:t>
      </w:r>
      <w:r>
        <w:rPr>
          <w:b/>
        </w:rPr>
        <w:t>Hon²</w:t>
      </w:r>
      <w:r>
        <w:rPr>
          <w:b w:val="0"/>
        </w:rPr>
        <w:t xml:space="preserve"> hördes kanske på samma sätt som också jag hörts hos polisen, därför att vederbörande trott, att man hade något att meddela rörande andras brott. Går jag igenom punkt efter punkt här och läser de olika polisrapporterna, blir jag nästan, herr talman, litet vemodig inför den hårdhet och den bevisföring, som man anser lämplig från utskottets sida. Jag har aldrig tillhört mer än en domstol, nämligen poliskollegium — man kan väl kalla det för domstol — men aldrig skulle jag ha drömt om att man kunde använda sig av en sådan bevisföring; som utskottet här gör. Utskottet anser tydligen, att en persons hederliga vandel kan ifrågasättas därför att han varit nedkallad till polisen. Det finns helt enkelt inte något spår av bevisning eller ens ett antagande, att vederbörande varit skyldig. Herr talman, detta innebär i och för sig en skärpning av oerhörda mått. Om det inte vore så, att jag principiellt aldrig ställer något annat yrkande än att anmärkningarna skola läggas till handlingarna, skulle jag nästan vara frestad att göra motsatsen i detta fall.</w:t>
        <w:br/>
        <w:br/>
        <w:t xml:space="preserve">Ånej, det är på det sättet, att bland dessa 400 ärenden, som under granskningsåret av Kungl. Maj:t bifallits, har man hittat fyra fall, som ligga till så, som </w:t>
      </w:r>
      <w:r>
        <w:rPr>
          <w:b/>
        </w:rPr>
        <w:t>damerna²</w:t>
      </w:r>
      <w:r>
        <w:rPr>
          <w:b w:val="0"/>
        </w:rPr>
        <w:t xml:space="preserve"> och herrarna själva kunna se. Jag skall inte ingå i detaljer härvidlag. Det tjänar inte mycket till, då anmärkningarna inte äro av den beskaffenhet, att de förtjäna en detaljgranskning. Men rörande den princip om skattebetalning, som man talar om, vill jag fråga: när införde vi i detta land — juridiskt eller på annat sätt — den principen, att vederbörande skall lastas för skatt, som är mer än 10 år gammal? När blev det kutym? Jag bara ställer frågan. Äro ni beredda att på andra områden föra in de principer, som man</w:t>
        <w:br/>
        <w:br/>
        <w:t xml:space="preserve">Ang. granskning av statsrådsprotokollen. (Forts.) härvidlag vill gå in för? Jag är det inte i varje fall. Och vill man föra in som princip i fråga om människors hederliga vandel, att som bevis skola gälla lösa antaganden i polisrapporter o. d.? Utskottets ordförande säger, att det har ingenting med denna sak att göra, att t. ex. i fallet b) vederbörande </w:t>
      </w:r>
      <w:r>
        <w:rPr>
          <w:b/>
        </w:rPr>
        <w:t>kvinna¹</w:t>
      </w:r>
      <w:r>
        <w:rPr>
          <w:b w:val="0"/>
        </w:rPr>
        <w:t xml:space="preserve"> skulle, om </w:t>
      </w:r>
      <w:r>
        <w:rPr>
          <w:b/>
        </w:rPr>
        <w:t>hennes²</w:t>
      </w:r>
      <w:r>
        <w:rPr>
          <w:b w:val="0"/>
        </w:rPr>
        <w:t xml:space="preserve"> äktenskap ingåtts efter medborgarlagens antagande år 1923, ha blivit svensk medborgare. Lika litet hör det hit, att om </w:t>
      </w:r>
      <w:r>
        <w:rPr>
          <w:b/>
        </w:rPr>
        <w:t>kvinnan¹</w:t>
      </w:r>
      <w:r>
        <w:rPr>
          <w:b w:val="0"/>
        </w:rPr>
        <w:t xml:space="preserve"> haft en god rådgivare — </w:t>
      </w:r>
      <w:r>
        <w:rPr>
          <w:b/>
        </w:rPr>
        <w:t>hon²</w:t>
      </w:r>
      <w:r>
        <w:rPr>
          <w:b w:val="0"/>
        </w:rPr>
        <w:t xml:space="preserve"> hade i samband med äktenskapets upplösning i Tyskland enligt den nya lagen kunnat hemställa om att bli befriad från det tyska medborgarskapet och automatiskt ha blivit svensk undersåte igen. Nej, det är de andra omständigheterna, menar man. Ja men, mina herrar, om det är så, att Kungl. Maj:t tillämpar de principer, som äro grundläggande för en lag, antagen med riksdagen, hur kan man då ha panna att yrka på anmärkning gentemot Kungl. Maj:t? Då äro väl dessa principer i varje fall vägledande? Därvidlag har ju riksdagen ändå dragit upp en så tydlig linje, att jag tycker, att det är i högsta grad egendomligt, att man under sådana omständigheter skall behöva diskutera de förhållanden, varunder detta s. k. brott kan ha blivit begånget. Även i det fallet, liksom i en del andra, sakna vi i utskottet alla förutsättningar för ett bedömande, som står så att säga i jämnbredd med omdömet om hederlig vandel. Mina damer och herrar, det finns människor, som gjort sig skyldiga till brott, i vilka fall ömmande omständigheter kunna ha förelegat på ett sådant sätt, att jag skulle tro, att varken jag eller utskottets ordförande skulle vara beredd att fälla dom. Där skulle vi ha saknat möjlighet att gå in på en dylik prövning.</w:t>
        <w:br/>
        <w:br/>
        <w:t>Under sådana förhållanden, herr talman, har jag kommit till den uppfattningen, att de anmärkningar, som skett, inte varit tillräckligt grundade, och det är min bestämda förhoppning, att inte dessa anmärkningar skola leda till en skärpt tillämpning ifrån Kungl. Maj:ts sida av bestämmelserna om beviljande av medborgarskap. Här har man följt ungefärligen samma principer 1 20 år, men utskottet har i det avseendet inte vaknat upp förrän nu. Jag är övertygad om — och jag har kunnat övertyga mig om det — att nog hade vi under 20-årsperioden kunnat leta upp mera eklatanta fall att slå ned på än de här ifrågavarande.</w:t>
        <w:br/>
        <w:br/>
        <w:t>Herr talman, jag har intet annat yrkande att göra än att dessa punkter a—d måtte läggas till handlingarna.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2096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