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828</w:t>
      </w:r>
    </w:p>
    <w:p>
      <w:r>
        <w:rPr>
          <w:b/>
        </w:rPr>
        <w:t xml:space="preserve">Datum: </w:t>
      </w:r>
      <w:r>
        <w:t>1938-05-17</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Schlyter (Socialdemokraterna, man)</w:t>
      </w:r>
    </w:p>
    <w:p>
      <w:r>
        <w:rPr>
          <w:b w:val="0"/>
        </w:rPr>
        <w:t xml:space="preserve">Herr talman! Den religiösa och kyrkliga utvecklingen i vårt land under de senaste hundra åren har lett till den svenska enhetskyrkans sönderfallande och till uppkomsten av flera fria trossamfund och andra i förhållande till folkkyrkan avvikande riktningar. Endast ett ringa antal medlemmar av dessa samfund ha begagnat sig av rätten att enligt dissenterlagens medgivande utträda ur statskyrkan och bilda s. k. dissentersamfund. Det ojämförligt största antalet av dem, som i tro och lära avvika från den svenska statskyrkan, äro fortfarande formellt medlemmar av </w:t>
      </w:r>
      <w:r>
        <w:rPr>
          <w:b/>
        </w:rPr>
        <w:t>henne²</w:t>
      </w:r>
      <w:r>
        <w:rPr>
          <w:b w:val="0"/>
        </w:rPr>
        <w:t>, och de ha inom statskyrkans ram bildat fria samfund med egen sakramentsförvaltning och egna</w:t>
        <w:br/>
        <w:br/>
        <w:t>Ang. de frikyrkliga samfundens rättsliga ställning. (Forts.) predikanter och församlingsledare. Detta faktiska förhållande, att statskyrkan icke längre är en enhetskyrka utan att flera fria trossamfund existera och komma att alltfort existera, skapar problem, som staten i sin lagstiftning icke gärna kan undgå att ta ställning till. Försök ha ju redan i slutet på 1850- talet och även senare gjorts att ordna förhållandet mellan statskyrkan och de nämnda samfunden genom en dissenterlagstiftning, men det kan knappast sägas, att dessa försök slagit väl ut. Under tiden ha de fria trossamfunden ökat sitt medlemsantal och stabiliserats, så att för närvarande en ganska stor procent av svenska folket har sin andliga hemortsrätt inom dessa samfund och religlösa rörelser.</w:t>
        <w:br/>
        <w:br/>
        <w:t>Det jag nu sagt citerar jag från den frikyrkliga samarbetskommitténs sekreterare, rektor N. J. Nordström, som i utskottet hördes som sakkunnig. Jag kommer också i fortsättningen att hålla mig till den redogörelse han lämnade i utskottet. Han angav bland annat några siffror, som kunna ge en föreställning om de fria samfundens nuvarande status och inflytande.</w:t>
        <w:br/>
        <w:br/>
        <w:t>Svenska missionsförbundet hade enligt senast tillgängliga statistik för år 1937 över 111,000 församlingsmedlemmar, 69,000 medlemmar i ungdomsoch juniorföreningarna och nära 107,000 barn inskrivna i söndagsskolorna. Svenska baptistsamfundet hade samma år 63,000 församlingsmedlemmar, 25,500 medlemmar i ungdomsoch juniorföreningarna och 52,000 söndagsskolbarn. Metodistkyrkan hade 15,000 församlingsmedlemmar, 8,500 medlemmar i ungdomsföreningarna och 14,000 söndagsskolbarn. Detta gör tillsämmans över 189,000 församlingsmedlemmar, 103,000 medlemmar i ungdomsoch juniorföreningarna och 173,000 söndagsskolbarn. Om man beräknar, att cirka 50 procent av ungdomsföreningarnas medlemmar också äro medlemmar av församlingarna, återstå ändå omkring 436,000 personer, som äro matrikulerade i de tre nämnda samfunden. Räknar man därtill, att pingströrelsen har omkring 70,000 medlemmar i sina församlingar och 50,000 söndagsskolbarn samt frälsningsarmén och andra fristående organisationer minst 50,000 matrikulerade, så kommer man till en summa, som betydligt överstiger 600,000 personer eller med andra ord omkring 10 Z av hela svenska folket.</w:t>
        <w:br/>
        <w:br/>
        <w:t>Av svenska missionsförbundets, svenska baptistsamfundets och metodistkyrkans statistik framgår också, att de årligen insamla på frivillighetens väg mer än 10 miljoner kronor för sin verksamhet.</w:t>
        <w:br/>
        <w:br/>
        <w:t>Tre alternativ erbjuda sig, då det gäller att med tillämpning av religionsfrihetens grundsats ordna de kyrkliga förhållandena i det moderna samhället. Dessa äro följande:</w:t>
        <w:br/>
        <w:br/>
        <w:t xml:space="preserve">2. Statskyrkans bibehållande och antagandet av en dissenterlag, som ger de från statskyrkan avvikande samfunden och sammanslutningarna rätt att utträda ur </w:t>
      </w:r>
      <w:r>
        <w:rPr>
          <w:b/>
        </w:rPr>
        <w:t>henne²</w:t>
      </w:r>
      <w:r>
        <w:rPr>
          <w:b w:val="0"/>
        </w:rPr>
        <w:t xml:space="preserve"> och bilda s. k. dissentersamfund.</w:t>
        <w:br/>
        <w:br/>
        <w:t>3. Statskyrkans bibehållande och antagandet av en särskild lagstiftning för sådana religiösa samfund, som inom statskyrkans ram vilja bedriva slälvständig verksamhet utan att bilda s. k. dissenterförsamlingar.</w:t>
        <w:br/>
        <w:br/>
        <w:t>De frikyrkliga samfunden i vårt land ha vid olika tillfällen, särskilt vid de vart femte år återkommande frikyrkomötena, uttalat sig för det första alternativet, d. v. s. upplösandet av bandet mellan stat och kyrka. De ha menat, att endast detta innebure ett radikalt förverkligande av religionsfrihetens princip, då, vilken form en statskyrka än har och hur dess förhållande till staten än gestaltar sig, den ju innebär, att staten på något sätt ställer ett av kyrkosamfunden i en särställning och gynnar det, ett ställningstagande som man ansett icke kunna bringas i överensstämmelse med religionsfrihetens grundsats.</w:t>
        <w:br/>
        <w:br/>
        <w:t>Det andra alternativet, som innebär rätt till fritt utträde ur statskyrkan och bildandet av dissentersamfund för dem, som ej anse statskyrkoformen vara det lämpligaste sättet för ordnandet av statens förhållande till kyrkan, har Ju på senare tid ivrigt anbefallts från folkkyrkligt håll. Man vill omarbeta och förbättra den nuvarande dissenterlagen av 1873, så att de frikyrkliga skulle kunna i enlighet med dess bestämmelser bilda dissentersamfund. År 1925 tillsatte Kungl. Maj:t de s. k. religionsfrihetssakkunniga, som två år senare framlade ett förslag om vidgad rätt till utträde ur svenska kyrkan.</w:t>
        <w:br/>
        <w:br/>
        <w:t>De frikyrkliga samfunden ha genom sin samarbetskommitté i skrivelse till Kungl. Maj:t framhållit, att de för sin del icke anse religionsfrihetssakkunnigas förslag tillfredsställande. Det rör endast en detalj i ett stort frågekomplex, och de frikyrkliga samfundens styrelser ha tillika med samarbetskommittén trott sig kunna förutse, att ett medgivande av rätten till fritt utträde ur statskyrkan enligt religionsfrihetssakkunnigas förslag knappast komme att ha till följd, att några frikyrkliga skulle vilja begagna sig av denna rätt. Resultatet av en sådan lagstiftning bleve sannolikt detsamma som resultatet av 1860 års dissenterlagstiftning: den senare blev alldeles verkningslös med hänsyn till dem, vilkas kyrkliga förhållanden man ville ordna. De frikyrkliga samfunden äro därför principiellt emot att utbryta frågan om fritt utträde ur statskyrkan ur det större sammanhang, som den hör till, och söka lösa den frågan utan hänsyn till andra, som förefalla viktigare. Men givetvis bör en dissenterlag finnas och möjlighet medgivas att utträda ur statskyrkan för sådana, som av samvetsskäl anse sig tvingade att taga ett sådant steg och för sådana, son: av kyrkliga och principiella skäl äro förhindrade att tillhöra den, t. ex. katoliker. Men då utträde nu så gott som helt och hållet upphört från medlemmar av frikyrkosamfunden, förefinnes här icke något egentligt frikyrkligt behov. Metodistkyrkan, som ju är ett dissentersamfund, består till ungefär två tredjedelar av medlemmar, som alltfort kvarstå i statskyrkan. Utträde torde där icke förekomma annat än i den utsträckning, som är nödvändig för att man skall få bilda en dissenterförsamling eller när någon vill anlita en metodistpastor att förrätta vigsel. Icke heller frågan om bildandet av dissentersamfund och utträde ur statskyrkan kan alltså för närvarande anses som ett aktuellt spörsmål inom frikyrkosamfunden.</w:t>
        <w:br/>
        <w:br/>
        <w:t xml:space="preserve">Återstår så det tredje alternativet, nämligen en särskild lag eller förordning för sådana religiösa samfund och korporationer, som vilja utöva fri och självständig religiös verksamhet inom folk- eller statskyrkans ram. Det är om en sådan lagstiftning rektor Mosesson motionerat. Det skulle således här gälla en av den religiösa och kyrkliga utvecklingen i vårt land betingad ny lagstiftning. I vilken riktning den kyrkliga utvecklingen än må komma att gå i framtiden, kan man med stor säkerhet utgå ifrån att statskyrkan aldrig kommer att bli ensam bärare och vårdare av det religiösa livet och arbetet i landet. Det kommer att vid sidan av </w:t>
      </w:r>
      <w:r>
        <w:rPr>
          <w:b/>
        </w:rPr>
        <w:t>henne²</w:t>
      </w:r>
      <w:r>
        <w:rPr>
          <w:b w:val="0"/>
        </w:rPr>
        <w:t xml:space="preserve"> eller inom </w:t>
      </w:r>
      <w:r>
        <w:rPr>
          <w:b/>
        </w:rPr>
        <w:t>hennes²</w:t>
      </w:r>
      <w:r>
        <w:rPr>
          <w:b w:val="0"/>
        </w:rPr>
        <w:t xml:space="preserve"> yttre ram finnas ardra kristna samfund, och det förefaller, som om det kunde vara ett statens intresse att bättre än vad hittills skett ordna och fastställa dessa samfunds eller korporationers rättsliga ställning. Om statens intresse för religionen som en viktig faktor i folkets liv även i fortsättningen skall ta sig uttryck i upprätthållandet av en statskyrka, bör ju icke detta betyda, att det icke också är ett statens intresse, att förhållandet mellan å ena sidan de nämnda fria samfunden och staten och å andra sidan mellan dem och statskyrkan blir i lag fastställt. Vad det senare förhållandet angår, har man, såsom förut från kyrkligt håll påpekats, velat göra gällande, att det i ordningens och klarhetens intresse vore önsk-</w:t>
        <w:br/>
        <w:br/>
        <w:t>Ang. de frikyrkliga samfundens rättsliga ställning. (Forts.) värt, att den ena parten ställer sig helt fri i förhållande till den andra, d. v. s. att de frikyrkliga samfunden utträda ur kyrkan. Detta vore kanske riktigt, om det här gällde ett förhållande mellan två samfund, som båda stode i samma ställning till staten. Men så länge utträdet ur statskyrkan medför konsekvenser, som beröra medborgarnas förhållande i samhället, och så länge ett utträde de facto betyder ett avstående från rätten att öva något inflytande på en för de religiöst intresserade så viktig angelägenhet som statsreligionen, torde man icke kunna beteckna det som stridande mot någon rättsprincip att i lag fastställa vissa regler även rörande förhållandet mellan statskyrkan och de frikyrkliga samfunden, även om dessa samfunds medlemmar icke officiellt utträda ur kyrkan och bilda dissentersamfund.</w:t>
        <w:br/>
        <w:br/>
        <w:t>Vilka frågor skall då en eventuell lagstiftning på detta område främst ta sikte på? Uppenbart är, att de fria samfunden icke önska något slag av förstatligande, d. v. s. någon sådan ordning, som ställer dem i beroendeförhåll&gt;nde till staten. De ha omfattat frikyrkoprincipen, och varje sådant förhållande mellan stat och kyrka, som inkräktar på kyrkans frihet att själv ordna sina inre angelägenheter, strider mot denna princip. De begära icke av staten ekonomisk hjälp för sin religiösa verksamhet. Kyrkofriheten betrakta de som en nödvändig följd av religionsoch samvetsfriheten. Denna frihet innebär kyrkosamfundets rätt att utan statligt eller annat tvång verka 1 enlighet med sina egna grundsatser och fullfölja de syften, för vilka det är till.</w:t>
        <w:br/>
        <w:br/>
        <w:t>När sålunda de fria samfunden önska, att deras rättsliga ställning i samhället ordnas i överensstämmelse med religionsoch kyrkofrihetens grundsatser, så gäller det för det första deras ställning till staten som sådan, t. ex. deras skyldighet att betala skatt. Här råder för närvarande ett ganska kaotiskt förhållande. Medan exempelvis metodistkyrkan och evangeliska brödraförsamlingen samt katolska kyrkan gälla som fromma stiftelser och sålunda äro befriade från inkomstoch förmögenhetsskatt och betala arvsskatt efter en lägre skala, räknas icke baptistsamfundet och svenska missionsförbundet samt evangeliska fosterlandsstiftelsen som fromma stiftelser, varför de nödgas betala skatt efter andra skalor. Det är ett livligt önskemål bland de frikyrkliga att de religiösa samfundens skatteplikt fastställes efter mer enhetliga grunder än vad nu är fallet.</w:t>
        <w:br/>
        <w:br/>
        <w:t>För det andra har man pekat på en fråga, varom särskild motion blivit väckt vid årets riksdag, nämligen om den frikyrkliga vigselns legalisering. Från frikyrkligt håll har man vid flera olika tillfällen framhållit det obligatoriska civiläktenskapet som den från religionsoch samvetsfrihetens synpunkt lämpligaste formen för äktenskapets ingående. Riksdagen har emellertid helt nyligen avslagit en motion om obligatoriskt civiläktenskap. Det är lätt att förstå de olägenheter, som ligga däri, att de frikyrkliga nu måste underkasta sig två vigslar, en borgerlig och en religiös. Det faktum, att den frikyrkliga vigseln icke har rättslig karaktär, annat än om det gäller vigsel verkställd av pastor inom dissentersamfund och om de som vigas äro från statskyrkan utträdda, ger åt denna vigsel en lägre valör än den kyrkliga har. Denna fråga är för de frikyrkligas vidkommande ingen liten fråga. En eventuell utredning av spörsmålet skall säkerligen finna former, som kunna vara fullt betryggande för staten och på samma gång ge rättvisa åt de frikyrkliga samfunden. Klart är ju, att samhället eller staten måste kräva vissa kvalifikationer av dem, som skola utföra en legal handling, men de frikyrkosamfund, som beröras av en eventuell lagstiftning härvidlag, ha nått den stadga och ordning, att de väl kunna fylla berättigade krav i detta avseende. Om staten genom något sitt organ efter vederbörlig prövning ger licens eller auktorisa-</w:t>
        <w:br/>
        <w:br/>
        <w:t>En tredje fråga, som borde kräva uppmärksamhet från statsmakternas sida, är religionsundervisningen i skolorna. Om en person formellt utträder ur statskyrkan, förlorar han därmed rätten att meddela religionsundervisning eller bli folkskollärare. Det finns för närvarande många hundra folkskollärare och läroverkslärare inom de frikyrkliga samfunden, men om dessa skulle bli dissenters, d. v. s. utträda ur statskyrkan, kunde de icke behålla sin anställning. Metodister, som utträtt ur statskyrkan, äro nu utestängda från möjligheten att bli lärare, huru väl kvalificerade för uppgiften de än äro, medan den formella tillhörigheten till statskyrkan ger även mot kristendomen fientligt inställda personer rätten och vad folkskollärarna angår väl också skyldigheten att meddela religionsundervisning.</w:t>
        <w:br/>
        <w:br/>
        <w:t>Ett fjärde exempel i fråga om de frikyrkliga samfundens förhållande till statskyrkan utgör den frikyrkliga begravningen. När den nu gällande begravningslagen för några år sedan antogs, tillgodosågo statsmakterna 1 viss utsträckning ett frikyrkligt önskemål. Frikyrkopastorerna kunde nu få rättighet att begrava den, som givit förordnande därom eller vilkas anhöriga därom gjorde hemställan. Men dessa begravningar fingo icke kallas frikyrkliga begravningar. Man fastställde i lag två begravningsformer, nämligen begravning i svenska kyrkans ordning och begravning utan jordfästning i svenska kyrkans ordning. Åtskilliga slitningar ha uppstått på grund av de frikyrkligas önskan att vid anmälan om begravning kalla denna senare begravningsform för frikyrklig vid sidan om den officiella beteckningen. Vidare infördes i lagtexten den bestämmelsen, att kyrka icke må upplåtas för sådan begravning, såvida ej särskilda skäl därtill äro. För somliga kyrkoherdar finnas aldrig några »särskilda skäl». De öppna aldrig en kyrka för en frikyrklig begravning. Därför måste ofta frikyrkliga begravningar äga rum under det svåraste väder ute på kyrkogårdarna, medan kyrkan står tom och uppvärmd alldeles intill. Gravkor finnas nämligen icke överallt. Här behövdes, menar man på frikyrkligt håll, tydligare bestämmelser, av vilka det kunde framgå, att en frikyrklig begravning också kan vara en kristlig begravning och följaktligen icke kan anses som något vanhelgande av kyrkorummet.</w:t>
        <w:br/>
        <w:br/>
        <w:t>För det femte och till sist påpekas behovet av lagstiftning rörande ideella föreningars rättsliga ställning. Det skulle i detta fall gälla de frikyrkliga församlingarna 1 deras egenskap av ideella föreningar. Dessa församlingar ha ju i allmänhet antagit stadgar, som reglera deras verksamhet, men gång efter annan uppstå rättsfall, för vilkas avgörande det icke finns någon ledning vare sig i gällande lag eller domstolspraxis. Även i fråga om förhållandet mellan samfunden och församlingarna, d. v. s. mellan överföreningar och underföreningar, kunna rättsfall förekomma, utan att några lagbestämmelser finnas, som kunna åberopas vid förekommande tvister. Det råder i vissa fall mycken osäkerhet rörande äganderättsförhållanden, förhållandet mellan majoritet och minoritet o. s. v. Då de frikyrkliga samfunden och församlingarna besitta egendom till mycket stora värden — endast de tre nämnda samfunden ha mer än två tusen kyrkor och kapell med ett värde av betydligt mer än 60 miljoner kronor — förstår man, att äganderättsproblem här kunna uppstå, som samhället icke borde vara alldeles likgiltigt inför. En utredning av dessa frågor synes 1 varje fall vara väl motiverad.</w:t>
        <w:br/>
        <w:br/>
        <w:t>Med denna motivering, för vilken jag, såsom jag inledningsvis anförde, har den inom utskottet av rektor Nordström förebragta utredningen att tacka, ber jag, herr talman, att få yrka bifall till reservationen.</w:t>
      </w:r>
    </w:p>
    <w:p>
      <w:pPr>
        <w:pStyle w:val="Heading2"/>
      </w:pPr>
      <w:r>
        <w:t>2. Knut G Ewerlöf (Högerpartiet, man)</w:t>
      </w:r>
    </w:p>
    <w:p>
      <w:r>
        <w:rPr>
          <w:b w:val="0"/>
        </w:rPr>
        <w:t>Herr talman! Jag befinner mig i den något ovanliga ställningen att gentemot utskottets ärade ordförande få föra utskottets talan. Eliest bruka ju han och utskottets majoritet vara ett.</w:t>
        <w:br/>
        <w:br/>
        <w:t>Jag tror mig våga påstå, att den föreliggande frågan har behandlats på ett mycket välvilligt sätt såväl från majoritetens som minoritetens sida. Att vi slutligen kommit att stanna i olika meningar, torde närmast ha sin förklaring däri, att vi haft olika uppfattning om lämpligheten av att taga den föreliggande motionen såsom utgångspunkt för en utredning av ifrågavarande synnerligen ömtåliga och invecklade spörsmål.</w:t>
        <w:br/>
        <w:br/>
        <w:t>Utskottet har ju den praxis, att det tillstyrker beslut om utredning på grund av en väckt motion i sådant fall, då det anses, att motionen dels uppvisar ett behov av en utredning av ett visst spörsmål, och dels lämnar uppslag för utredningens bedrivande, som te sig från utskottets synpunkt framkomliga.</w:t>
        <w:br/>
        <w:br/>
        <w:t>Vad nu först beträffar frågan om behovet av en riksdagens framställning om utredning av dessa frågor, ber jag att få framhålla, att det i mycket näraliggande syften gjorts framställningar, som äro på Kungl. Maj:ts prövning beroende. Dels föreligger en framställning från 1929 års kyrkomöte, att Kungl. Maj:t ville i samband med behandlingen av 1925 års religionsfrihetssakkunnigas betänkande låta verkställa en allsidig utredning angående vissa med frågan om vidgad rätt om utträde ur svenska kyrkan sammanhängande kyrkoorganisatoriska frågor, och dels har en skrivelse ingivits till Kungl. Maj:t den 17 juni 1935 från frikyrkliga samarbetskommittén av i huvudsak samma innehåll som den nu väckta motionen. Det finns således redan nu anledning för Kungl. Maj:t att, om så anses lämpligt, igångsätta en utredning av dessa spörsmål. Därest nu jämväl riksdagen beslutar en framställning i frågan, så kan det lätt uppfattas som en opinionsyttring till förmån just för de i motionen angivna riktlinjerna, under det att eljest Kungl. Maj:t har frihet att lägga upp utredningen på ett mera allsidigt sätt.</w:t>
        <w:br/>
        <w:br/>
        <w:t>I fråga om de riktlinjer, som äro angivna i motionen, ha vi ju av det anförande, som herr Schlyter nyss hållit, fått veta, att tyngdpunkten i motionen icke är, att man vill bereda ökad möjlighet för utträde ur statskyrkan och en förbättrad dissenterlagstiftning för de samfund, som på det sättet taga steget ut från statskyrkan, utan det är, att man vill för dessa samfund åstadkomma en rättslig reglering inom statsky yrkans ram. Det är själva huvudfrågan i denna motion, och genom att på grundval av motionen besluta en utredning får man också anses ha tagit ställning till denna fråga. Efter det anförande, som herr Schlyter höll, är det ju tydligt, att han helt och hållet har anslutit sig till den uppfattning, som inom utskottet framlades från rektor Nordströms sida. Vi hade ju dessutom förmånen att i utskottet få en utläggning av dessa frågor från en representant för statskyrkan, nämligen kyrkoherde Andre. Han har emellertid inte lämnat något skriftligt dokument efter sig, och därför befinner jag mig tyvärr inte i samma gynnsamma läge som herr ordföranden, att jag kan komma ifrån min uppgift genom att uppläsa det anförande, han höll inför utskottet.</w:t>
        <w:br/>
        <w:br/>
        <w:t>När det gäller en reglering av de frikyrkliga samfunden inom statskyrkans ram, kan jag mycket väl vara med, så långt det gäller en reglering för s. k. ideella föreningar överhuvud taget, d. v. s. en reglering sedd ur mera rent civilrättslig synpunkt. Jag tror också, att det kan vara ett behov — och det är ett behov, som gör sig gällande även på andra samhällslivets områden — att få en lagstiftning om ideella föreningar. Men det upplyses ju också i utskottsutlåtandet, att man inom justitiedepartementet har igångsatt en förberedande utredning angående lagstiftning för ideella föreningar. Därmed är motionären emellertid inte tillfreds, utan han syftar dessutom till att få en legalisering av vissa</w:t>
        <w:br/>
        <w:br/>
        <w:t>Ang. de frikyrkliga samfundens rättsliga ställning. (Forts.) kyrkliga handlingar ifrån frikyrkosamfundens sida inom statskyrkans ram, bland annat att få erkänd rättsverkan åt vigsel i frikyrklig ordning. Det förefaller mig åtminstone, och jag tror, att det har varit bestämmande för utskottets majoritet, att det icke kan vara en framkomlig väg att på detta sätt söka en lösning på de frågor, som här anmäla sig. Jag tror inte, att det är möjligt, så länge vi ha en statskyrka, att inom dess ram genom statens mellankomst legalisera även formerna för de fria samfundens kyrkliga handlingar. Det är en helt annan sak än den civilrättsliga frågan, som anknyter sig till en lagstiftning angående ideella föreningar, en lagstiftning som efter vad jag nyss framhållit även jag finner behövlig.</w:t>
        <w:br/>
        <w:br/>
        <w:t>Sedan är det vissa andra, mera perifera frågor, som varit berörda här, nämligen skattefrågorna. Första lagutskottet har knappast ansett, att det har möjligheter att tränga närmare in i frågan huruvida vissa ändringar i nu gällande beskattningsregler, närmast då arvsoch gåvobeskattningen, skulle vara påkallade för att skapa rättvisa på detta område. Det är mycket möjligt, men det är en fråga, som i så fall lämpligen bör aktualiseras i ett annat sammanhang än det förevarande.</w:t>
        <w:br/>
        <w:br/>
        <w:t>Jag tror, herr talman, att jag med dessa ord i korthet har angivit, vad som har varit för utskottet bestämmande, när man icke har velat på grundval av denna motion hemställa om att Kungl. Maj:t måtte vidtaga en utredning. Vi ha därmed icke alls avsett att ställa oss avvisande mot att en utredning — en allsidig och opartisk sådan — sker i dessa frågor, men vi ha utgått ifrån att en sådan under alla förhållanden skall komma till stånd genom Kungl. Maj:ts försorg på grund av de framställningar, som äro till Kungl. Maj:t ingivna och där kunna förväntas bli föremål för prövning.</w:t>
        <w:br/>
        <w:br/>
        <w:t>Herr talman! Jag ber att få yrka bifall till utskottets hemställan.</w:t>
      </w:r>
    </w:p>
    <w:p>
      <w:pPr>
        <w:pStyle w:val="Heading2"/>
      </w:pPr>
      <w:r>
        <w:t>3. Olof Bergqvist (Högerns riksdagsgrupp, man)</w:t>
      </w:r>
    </w:p>
    <w:p>
      <w:r>
        <w:rPr>
          <w:b w:val="0"/>
        </w:rPr>
        <w:t>Herr talman! Den motion, som utgjort utgångspunkten för det utskottsutlåtande, som här föreligger, avser dels en utredning av de frikyrkligas ställning inom svenska kyrkans ram, dels en revision av dissenterlagen. Hela denna fråga är för det första ganska ingripande och för det andra mycket ömtålig.</w:t>
        <w:br/>
        <w:br/>
        <w:t>Förhållandet mellan kyrkan och de frikyrkliga samfunden har undergått en mycket glädjande förändring under de senaste årtiondena. Den, som kommer ihåg hur det var i slutet av.1870- och början av 1880-talen, minnes, hur stark spänning som då rådde mellan de frikyrkliga och kyrkan. Jag har från denna tid många minnen, som äro pinsamma att tänka på, men allt eftersom tiden har gått, har förståelsen mellan kyrkan och de frikyrkliga samfunden blivit allt större, och man kan, såsom också motionären påpekat, med glädje konstatera, att en bestämd avspänning har skett och att i vidsträckt omfattning ett samarbete äger rum mellan kyrkan och de frikyrkliga samfunden.</w:t>
        <w:br/>
        <w:br/>
        <w:t>Jag kan också säga, att de frikyrkligas arbete varit till välsignelso för vårt folks religiösa fostran, och även kyrkan har lärt mycket och tagit impulser från de frikyrkliga kretsarna, som varit till gagn och välsignelse. Detta vill jag erkänna. På samma gång torde jag också kunna säga, att kyrkan i sin mån har utövat ett välgörande inflytande på de frikyrkligas framträdande och åskådningssätt.</w:t>
        <w:br/>
        <w:br/>
        <w:t>Det råder alltså nu en glädjande fred mellan svenska kyrkan och de fria kristna församlingsbildningarna, men i allt fall är tillståndet i många avseenden ganska oklart. Man ser ju, att det finns tendenser från de frikyrkligas håll att alltmer tränga in på kyrkans verksamhetsområde. Särskilt måste man</w:t>
        <w:br/>
        <w:br/>
        <w:t>Ang. de frikyrkliga samfundens rättsliga ställning. (Forts.) observera, att man börjar begära legalisering av kyrkliga handlingar, t. ex. brudvigsel, så att dylika handlingar, om de utföras av föreståndare eller predikanter inom de frikyrkliga föreningarna, skulle ha full legal verkan.</w:t>
        <w:br/>
        <w:br/>
        <w:t>Om så blir fallet, kommer detta att innebära, att varje frireligiöst samfund blir en kyrka inom kyrkan, men det anser jag vara lika förkastligt som om någon korporation blir en stat i staten — något, som man aldrig ansett vara tolerabelt. Att ha ett prästerskap i den svenska kyrkan. som förrättar vigsel, och ett annat prästerskap i vart och ett av de frikyrkliga samfunden, som hade samma befogenhet — allt inom samma kyrka — det bleve ren anomali. Att frikyrkopredikanter kunna förrätta jordfästning är en annan sak; den går ju under namn av borgerlig begravning.</w:t>
        <w:br/>
        <w:br/>
        <w:t>När jag hör herr Schlyter beskriva, hur det kan gå till vid frikyrkliga begravningar, så undrar jag om han inte betydligt avviker från vad som faktiskt äger rum. Att t. ex. de frikyrkliga med sina begravningar skulle få stå ute i det allra värsta oväder, medan kyrkoportarna äro stängda för dem, är icke riktigt. Vid kyrkomötets behandling av frågan var det tvärtom en förutsättning, att när det rådde ett svårt och hälsofarligt väder, skulle kyrkan öppnas även för borgerliga begravningar. Vidare ha frikyrkosamfunden sina missionshus, och i alla de fall jag känner till sker själva jordfästningen 1 missionshuset, och sedan tågar begravningsföljet ut till kyrkogården, där liket nedsättes. Då kan det hända, att detta sker i svårt väder, men de kyrkliga begravningarna få också underkasta sig detta. Jag tror, att det inte är riktigt, vad herr Schlyter har sagt härom.</w:t>
        <w:br/>
        <w:br/>
        <w:t>Jag framhöll, att förhållandena äro oklara, och jag tror inte, att man vinner någon full klarhet, så länge de frikyrkliga formellt stå kvar inom kyrkan. Det finns i vårt land ett stort antal frireligiösa riktningar, och nya frikyrkosamfund växa ideligen fram. Ett av dessa samfund, pingstvännerna, som har en mycket stor utbredning, är ett ganska nyligen bildat samfund, och andra kunna tänkas uppkomma efter hand, så att det blir en stor mängd av sådana. Att ha alla dessa inom kyrkan kan inte i längden lända till någon välsignelse för det andliga livet i vårt land. Kyrkan kommer därigenom helt enkelt att upplösas inifrån, och de frikyrkliga samfunden komma att trängas med varandra inom kyrkans ram. Jag tror inte, att det kan bli någon fullkomlig reda och några tillfredsställande förhållanden på annat sätt än att de frikyrkliga bilda fullt självständiga kyrkosamfund utanför statskyrkans ram.</w:t>
        <w:br/>
        <w:br/>
        <w:t>Det är klart, att detta skulle kräva en omfattande förändring 1 vår lagstiftning. Det skulle naturligtvis förutsätta fritt utträde ur den svenska kyrkan och vidare förändring av grundlagen i de delar, där de frikyrkliga äro avstängda från vissa rättigheter i staten och samfundet. Men jag tar för givet, att detta är en sak, som inte är oövervinnelig. Skall man göra en verklig reform, så får man naturligtvis göra den grundligt med sikt på lång framtid och söka ordna det så, att det kan bli verkliga gränser och klara förhållanden. Vi ha ju haft länder, där stat, kyrka och frikyrka ha stått fullständigt fristående från varandra, t. ex. Skottland. Det kyrkliga livet i Skottland har gått sin gilla gång, och dessa kyrkor ha icke kommit i oförsonlig strid med varandra, utan det gick tvärtom så, att de så småningom slöto sig tillsamman och arbetade vid varandras sida 1 det största samförstånd.</w:t>
        <w:br/>
        <w:br/>
        <w:t xml:space="preserve">Kyrkoproblemet är en mycket ingripande och omfattande fråga. Det kan hända, att den sista utvägen blir, att man på allvar tar upp frågan om upplösning av det månghundraåriga band, som har rått mellan den svenska kyrkan och den svenska staten. Jag må säga, att jag visserligen inte ser med någon glädje framåt mot ett dylikt perspektiv, därför att jag vet och erkänner, att kyrkan har haft mycket gagn av det stöd, </w:t>
      </w:r>
      <w:r>
        <w:rPr>
          <w:b/>
        </w:rPr>
        <w:t>hon²</w:t>
      </w:r>
      <w:r>
        <w:rPr>
          <w:b w:val="0"/>
        </w:rPr>
        <w:t xml:space="preserve"> har fått av staten. Men å</w:t>
        <w:br/>
        <w:br/>
        <w:t>Jag tyckte mig märka, att herr Schlyters sympatier lågo mycket mer på de frikyrkligas sida än på kyrkans, och det kan ju så vara, det vill jag inte alls klandra någon för och inte herr Schlyter heller. Men jag lade märke till att herr Schlyter yttrade, att det nog finnes möjligheter att för de frikyrkliga åstadkomma en lagstiftning, som är fullt betryggande för staten och även tillfredsställande för dem själva. Men vad kyrkan skulle känna och hur den skulle uppfatta saken, det berördes inte med ett enda ord.</w:t>
        <w:br/>
        <w:br/>
        <w:t>Vi få naturligtvis försöka vid en eventuell utredning taga hänsyn till alla parter. Om jag nu ser på den reservation, där herr Schlyters namn står först, så vill jag säga, att jag inte skulle ha så särdeles mycket emot en utredning sådan som den begäres här i reservationen om man bara inte tar hänsyn till den motion, som ligger bakom, ty vad som fordras i själva reservationen är, att riksdagen måtte i skrivelse till Kungl. Maj:t anhålla, att Kungl. Maj:t ville låta verkställa en allsidig utredning av frågan om de fria religiösa samfundens rättsliga ställning och om en revision av gällande dissenterlagstiftning. Om man därmed endast menar deras rättsliga ställning i statssamhället, då har jag för all del ingenting att säga. Jag vill, att de skola ha fullt ut lika stora rättigheter i statssamhället som statskyrkans medlemmar; det böra de rättvisligen ha. Men gäller det att tränga in i svenska kyrkans legala verksamhet och att usurpera kyrkliga handlingar, som skulle med samma rättsliga verkan utföras av frikyrkliga församlingsföreståndare, blir jag ganska betänksam. Det kan medföra stora slitningar, och därigenom kan det goda förhållande, som nu råder emellan kyrkan och de frikyrkliga, äventyras.</w:t>
        <w:br/>
        <w:br/>
        <w:t>Ar det emellertid fråga bara om dessa civilrättsliga förhållanden, tycker jag att man kan nöja sig med den utredning, som redan pågår om ideella föreningar, vid vilken utredning ju även de frikyrkligas rättigheter kunna upptagas, och då anser jag, att en särskild skrivelse till Kungl. Maj:t i denna sak inte alls är behövlig.</w:t>
        <w:br/>
        <w:br/>
        <w:t>Jag skall inte upptaga tiden längre utan inskränker mig till att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828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