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875</w:t>
      </w:r>
    </w:p>
    <w:p>
      <w:r>
        <w:rPr>
          <w:b/>
        </w:rPr>
        <w:t xml:space="preserve">Datum: </w:t>
      </w:r>
      <w:r>
        <w:t>1940-10-08</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Herr talman! Jag har i gångna tider haft åtskilligt att skaffa med denna lagstiftning, både som motionär, debattör, petitionär och skriftställare.</w:t>
        <w:br/>
        <w:br/>
        <w:t>Interpellanten erinrade oss, att domareden bjuder — det var ett av de högtidligaste ögonblicken i mitt liv — att döma efter Guds och Sveriges lag. Guds oskrivna lag, som således sättes först, är effektivast inskriven i alla människors samveten — den egenskap som gör att de stå över djuren. Och vad föreskriver Guds lag även skriftligt just på detta område? Vi få lära oss det redan som skolpojkar. »Du skall icke dräpa», står det i ett av de tio budorden. Regeringsformen bjuder också att Konungen ej må någons samvete tvinga eller tvinga låta. Punkt och slut -— under alla förhållanden!</w:t>
        <w:br/>
        <w:br/>
        <w:t>Detta är alltså Guds lag och det är även stadgat, att vi främst skola döma efter Guds lag. Mången som av samvetsnöd ej vill skjuta ned en stackars medmänniska på andra sidan eldlinjen söker värn för en sådan livsföring även i förenämnda författningar.</w:t>
        <w:br/>
        <w:br/>
        <w:t>Vad är för övrigt hela krigsväsendet annat än ett tvång för människor att lägga bort sina samveten? Vad är det för fasoner, att hemmasittare i de olika länderna själlöst och med lätt sinne kalla ut ungdomen till eldlinjerna för att förgås där och handla emot Guds lag! Den som står på andra sidan behandlas på precis samma sätt av sitt lands hemmasittare. Han är tvångsmobiliserad och måste vid äventyr av straff — större straff 1 vissa andra länder än vad det svenska styrelsesättet hitintills bestått oss med —</w:t>
        <w:br/>
        <w:br/>
        <w:t xml:space="preserve">skjuta till döds en sådan där stackare, skapa krymplingar, göra hans familj olycklig, hans </w:t>
      </w:r>
      <w:r>
        <w:rPr>
          <w:b/>
        </w:rPr>
        <w:t>moder²</w:t>
      </w:r>
      <w:r>
        <w:rPr>
          <w:b w:val="0"/>
        </w:rPr>
        <w:t xml:space="preserve"> kanske vansinnig och så vidare.</w:t>
        <w:br/>
        <w:br/>
        <w:t>Egentligen är det så, att alla människors samveten tala emot att gå ut i krigets eldlinjer, det mest barbariska och gudlösa, som finnes. Att de måste göra det beror på styrelsesätten i världen. Det är främst stormakterna, som ha skulden, och närmaste anledningen är att de äro för stora. Under sådana förhållanden ha vi rättighet och i all synnerhet plikt att vända oss mot alla stormakter just i dessa dagar. Vi småstater böra icke tolerera i tysthet dessa eviga stormaktskrig. Såsom andliga stormakter måste vi väl någon gång tala till dem om Guds lag, som de själva anse, att de bekänna sig till, om freden och en internationell rättsordnings tillblivelse. Men numera får man här 1 landet inte göra det heller. Man får inte ens interpellera och motionera om fredens idé, ty då anses man nästan höra till den femte kolonnen, till de »fäderneslandslösa» såsom det kallas.</w:t>
        <w:br/>
        <w:br/>
        <w:t>Saken är således den, att vi tvingas att tillägna oss s. k. rymliga samveten allihop. Guds lag talar till våra samveten, men här få vi strafflagar över oss, och det gäller bara att tvinga människorna att tillägna sig rymliga samveten, att gå emot Guds lag och sitt eget samvete. Man bör väl då inte förundra sig och förfasa sig över att det finns personer som följa Sveriges lag efter ordalagen även om det gäller försvarskrig. Att vi nu också skärpt straffet är endast ett symtom på gudlösheten i den tid, i vilken vi leva.</w:t>
        <w:br/>
        <w:br/>
        <w:t>I verkligheten behövas dessa strafflagsingripanden knappast. Krigsministern sade ju även att »simulation» förekommer föga. Ministern meddelade också att de intyg åter, som vederbörande åläggas att anskaffa, kunna vara av tvivelaktig beskaffenhet vilket nog också är förhållandet. Men å andra sidan kan samhället icke heller bevisa, att en person, som bygger sin vägran på samvetsbetänkligheter, är i själva verket tillräckligt samvetslös, så att han bör åtaga sig att skjuta ned medmänniskor på andra sidan av eldlinjerna.</w:t>
        <w:br/>
        <w:br/>
        <w:t>Jag menar således, herr talman, att landet bör upphäva den sista lagskärpningen. De som äro med vid nästa riksdag få sköta om detta. Herr Lindblom ber jag taga sig an den saken, så att det till början sättes stopp för oupphörliga skärpningar av vår ifrågavarande gudsfientliga lagstiftning.</w:t>
        <w:br/>
        <w:br/>
        <w:t>Man kan också begära att vederbörande myndigheter icke äro obarmhärtiga och visa ett fientligt åskådningssätt gentemot de samvetsömma, som också herr Lindblom anförde.</w:t>
        <w:br/>
        <w:br/>
        <w:t>Militärerna måste dock på grund av sitt yrke vara tämligen obevekliga i detta fall. När man ålagt dem att kämpa med svärd för fäderneslandet mot andra, som enligt sin uppfattning också kämpa för fäderneslandet, måste de kräva konsekvens. Därför måste man fritaga dem från prövningsrätten, ty det är synd om dem, när de måste påtvingas en sådan prövning.</w:t>
        <w:br/>
        <w:br/>
        <w:t>Däremot synes det mig, att civila, som t. ex. landshövdingen i Härnösand, inte behöva anse sig kallade blanda sig i detta med en privat pinlig rättegång. Det bör undersökas, om inte landshövdingen har överskridit sin befogenhet genom att särskilt lägga vikt vid att övertyga vederbörande om att de i själva verket äro samvetslösa, då de tro sig vara samvetsömma. Det skall väl vara gränser också för vad myndigheterna ta sig till. Min vän Engberg, som nu skall sitta på den här platsen, har också varit emot mina förslag till främjande av världsfreden. Han hör till dem som mest i riksdagen främst vänt sig mot riksdagens beblandelse med nationernas självbestämningsrätt, ja även då det gällt de åländska upplandsbönderna, samt mot ett neutralt världsspråk vid sidan av de röriga och hatfulla nationalspråken. Han hör</w:t>
      </w:r>
    </w:p>
    <w:p>
      <w:pPr>
        <w:pStyle w:val="Heading2"/>
      </w:pPr>
      <w:r>
        <w:t>2. Östen Unden (Socialdemokraterna, man)</w:t>
      </w:r>
    </w:p>
    <w:p>
      <w:r>
        <w:rPr>
          <w:b w:val="0"/>
        </w:rPr>
        <w:t>Jag skall inte blanda mig i den speciella fråga, som närmast varit föremål för diskussionen mellan interpellanten och statsrådet. Jag vill endast i förbigående säga, att den nuvarande svenska lagen är ett uttryck för den svenska statens generositet mot den egendomliga grupp av samveten, som det här gäller. Jag tror att den svenska lagen i detta avseende kanske går längre än lagstiftningen i något annat land. Men det finns ju vissa kategorier av samveten, som inte kunna till det yttersta respekteras från statens sida. Enligt vad jag har erfarit fick en av de samvetsömma, som underkastades den enligt min mening mycket nyttiga prövningen av landshövdingen i Härnösand, tillfälle att bekänna, att hans samvete var känsligare än de andras — det förbjöd honom också att betala skatt! Han ansåg det vara omoraliskt att fattiga skulle avkrävas skatt. Jag undrar, om den ärade interpellanten anser att den svenska staten är ett rövarband, om den använder tvångsmedel mot en sådan samvetsöm.</w:t>
        <w:br/>
        <w:br/>
        <w:t>Men kanske interpellanten också inom sitt eget verksamhetsområde kommit 1 beröring med en viss grupp av samvetsömma. Det finns ju föräldrar som till följd av bristande förtroende för en lärare, t. ex. därför att de anse att han är gudlös eller att han i varje fall icke är renlärig, vägra att skicka sina barn till skolan och etablera skolstrejk. Jag undrar, om folkskoleinspektören Brandt respekterar dessa samveten eller om han använder legala tvångsmedel för att hindra barnen att växa upp i fullkomlig samvetsfrihet. Jag vill strax säga, att för egen del anser jag att han gör rätt, om han använder legala tvångsmedel.</w:t>
      </w:r>
    </w:p>
    <w:p>
      <w:pPr>
        <w:pStyle w:val="Heading2"/>
      </w:pPr>
      <w:r>
        <w:t>3. Erik Brandt (Socialdemokraterna, man)</w:t>
      </w:r>
    </w:p>
    <w:p>
      <w:r>
        <w:rPr>
          <w:b w:val="0"/>
        </w:rPr>
        <w:t xml:space="preserve">Jag vill inte förlänga debatten, men svarar på herr Undéns fråga, att jag inte betraktar svenska staten som en rövarstat, därför att den tvingar människor att betala skatt. I denna kammare har en gång en man, talmannen greve Hamilton, sagt: »Det finns situationer, då mitt samvete inte tillåter mig att respektera andras samveten.» Jag vet att det finns dylika pliktkonflikter. Men jag vill göra en bestämd skillnad mellan de fall, som herr Undén berörde, och dem, som här äro föremål för diskussion: å ena sidan en allvarlig religiös övertygelse rörande bruk av vapen, och å andra sidan vägran att betala skatt, att sända barnen i skolan eller dylikt. Jag erkänner att det finns stora vanskligheter, när man vill fälla en rättvis dom, och det är alldeles givet att samtidigt som man måste respektera folks samveten, måste man också undersöka, hur det är ställt med deras kunskap. Vi veta, att föräldrar av oförstånd och själviskhet kunna vilja hindra sina barn att gå i skolan och stundom förebära ideella skäl för sin ståndpunkt. Jag påstår att de äro simulanter. Att någon människa av allvarliga samvetsskäl skulle vilja förhindra barn att inhämta kunskap, har jag svårt att tänka mig. Men jag kan tänka mig sådana fall som att en far eller </w:t>
      </w:r>
      <w:r>
        <w:rPr>
          <w:b/>
        </w:rPr>
        <w:t>mor²</w:t>
      </w:r>
      <w:r>
        <w:rPr>
          <w:b w:val="0"/>
        </w:rPr>
        <w:t>, som har den bestämda uppfattningen att barnens lärare är »gudlös» eller sprider irrläror, kan komma 1 samvetsnöd genom barnens skolgång, och jag är icke heller hågad att anbefalla fängelsestraff mot sådana föräldrar. Men jag vill sätta in all kraft på att upplysa deras dunkla samveten, om de visa sig trångbröstade. I det här landet har emellertid ännu ingen tredskande barnafader kastats 1 fängelse. Men i sommar har ett hundratal samvetsömma värnpliktiga dömts till fängelse.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