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895</w:t>
      </w:r>
    </w:p>
    <w:p>
      <w:r>
        <w:rPr>
          <w:b/>
        </w:rPr>
        <w:t xml:space="preserve">Datum: </w:t>
      </w:r>
      <w:r>
        <w:t>1901-03-19</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Nordström (Utan partibeteckning, man)</w:t>
      </w:r>
    </w:p>
    <w:p>
      <w:r>
        <w:rPr>
          <w:b w:val="0"/>
        </w:rPr>
        <w:t>Herr talman! Mina herrar! Blott ett par ord! Det är mycket sant, att för söndagarna debiteras icke någon hyra för vagu, men man har emellertid beräknat värdet af stillaståendet om söndagarna till tre kronor om dagen för hvarje vagn, eller det belopp, som en trafikant får erlägga såsom straffafgift för underlåten lossning. Om det skulle låta sig göra att åstadkomma en fullständig utredning om den lucrum cessans eller den förlust, som skulle uppkomma, derest vagnarne stodo stilla under söndagarna, skulle det dock vålla mycket långvarigt arbete. Man har derför, för att få en ungefärlig föreställning om denna förlust, tagit det belopp, man ansett lämpligt påföra såsom straffhyra för underlåten lossning. Huruvida den verkliga förlusten skulle blifva större eller mindre än 450,000 kronor, är icke godt att säga, men med största sannolikhet skulle den blifva vida större och icke mindre.</w:t>
        <w:br/>
        <w:br/>
        <w:t xml:space="preserve">att </w:t>
      </w:r>
      <w:r>
        <w:rPr>
          <w:b/>
        </w:rPr>
        <w:t>sjuksköterska³</w:t>
      </w:r>
      <w:r>
        <w:rPr>
          <w:b w:val="0"/>
        </w:rPr>
        <w:t xml:space="preserve">, som uttager af eller för </w:t>
      </w:r>
      <w:r>
        <w:rPr>
          <w:b/>
        </w:rPr>
        <w:t>henne²</w:t>
      </w:r>
      <w:r>
        <w:rPr>
          <w:b w:val="0"/>
        </w:rPr>
        <w:t xml:space="preserve"> insatt belopp, dervid icke må utbekomma jemväl de bidrag af statsmedel, som för </w:t>
      </w:r>
      <w:r>
        <w:rPr>
          <w:b/>
        </w:rPr>
        <w:t>henne²</w:t>
      </w:r>
      <w:r>
        <w:rPr>
          <w:b w:val="0"/>
        </w:rPr>
        <w:t xml:space="preserve"> utbetalts, utan att dessa böra, på sätt Kongl. Maj:t bestämmer, komma öfriga delegare i pensionsanstalten till godo.</w:t>
      </w:r>
    </w:p>
    <w:p>
      <w:pPr>
        <w:pStyle w:val="Heading2"/>
      </w:pPr>
      <w:r>
        <w:t>2. Edvard von Krusenstjerna (borgmästarepartiet, man)</w:t>
      </w:r>
    </w:p>
    <w:p>
      <w:r>
        <w:rPr>
          <w:b w:val="0"/>
        </w:rPr>
        <w:t xml:space="preserve">Kongl. Maj:ts förslag angående statsbidrag för pensionering af </w:t>
      </w:r>
      <w:r>
        <w:rPr>
          <w:b/>
        </w:rPr>
        <w:t>sjuksköterskor³</w:t>
      </w:r>
      <w:r>
        <w:rPr>
          <w:b w:val="0"/>
        </w:rPr>
        <w:t xml:space="preserve"> har af statsutskottet rönt ett välvilligt mottagande. Utskottet har emellertid ansett, att, då det är fråga om en ny sak, man borde gå försigtigt till väga och att derför de rent privata </w:t>
      </w:r>
      <w:r>
        <w:rPr>
          <w:b/>
        </w:rPr>
        <w:t>sjuksköterskorna³</w:t>
      </w:r>
      <w:r>
        <w:rPr>
          <w:b w:val="0"/>
        </w:rPr>
        <w:t xml:space="preserve"> icke böra komma med bland dem, för hvilka staten skulle lemna pensionsbidrag. Det hade emellertid varit önskvärdt, om utskottet tagit steget fullt ut, men då utskottet hiärutinnan varit fullt enigt, är det icke min mening att derom yttra något. Men då utskottet i första punkten formulerat det första af de vilkor, som uppställas för att en </w:t>
      </w:r>
      <w:r>
        <w:rPr>
          <w:b/>
        </w:rPr>
        <w:t>sjuksköterska³</w:t>
      </w:r>
      <w:r>
        <w:rPr>
          <w:b w:val="0"/>
        </w:rPr>
        <w:t xml:space="preserve"> skall vara berättigad till bidrag för sin pensionering, tror jag, att utskottet gjort denna formulering för trång och att en redaktionsförändring bör vidtagas. Jag fäster mig icke vid, att det står »&gt;mot åtnjutande af lön</w:t>
        <w:br/>
        <w:br/>
        <w:t xml:space="preserve">skottet ansett likgiltigt, om lönen utbetalas direkt till </w:t>
      </w:r>
      <w:r>
        <w:rPr>
          <w:b/>
        </w:rPr>
        <w:t>sjuksköterskan³</w:t>
      </w:r>
      <w:r>
        <w:rPr>
          <w:b w:val="0"/>
        </w:rPr>
        <w:t xml:space="preserve"> eller såsom anslag till den anstalt, </w:t>
      </w:r>
      <w:r>
        <w:rPr>
          <w:b/>
        </w:rPr>
        <w:t>hon²</w:t>
      </w:r>
      <w:r>
        <w:rPr>
          <w:b w:val="0"/>
        </w:rPr>
        <w:t xml:space="preserve"> tillhör, och hvilken då aflönar </w:t>
      </w:r>
      <w:r>
        <w:rPr>
          <w:b/>
        </w:rPr>
        <w:t>sköterskan³</w:t>
      </w:r>
      <w:r>
        <w:rPr>
          <w:b w:val="0"/>
        </w:rPr>
        <w:t xml:space="preserve">. Deremot äro med denna redaktion uteslutna de </w:t>
      </w:r>
      <w:r>
        <w:rPr>
          <w:b/>
        </w:rPr>
        <w:t>sjuksköterskor³</w:t>
      </w:r>
      <w:r>
        <w:rPr>
          <w:b w:val="0"/>
        </w:rPr>
        <w:t xml:space="preserve">, som äro anstälda på sådana statssjukhus, som icke kunna sägas vara rent »allmänna sjukvårdsanstalter». Det finnes exempelvis vid statsbanebyggnaderna i Lappland ett par sjukstugor, som blifvit anlagda af jernvägsstyrelsen. De </w:t>
      </w:r>
      <w:r>
        <w:rPr>
          <w:b/>
        </w:rPr>
        <w:t>sjuksköterskor³</w:t>
      </w:r>
      <w:r>
        <w:rPr>
          <w:b w:val="0"/>
        </w:rPr>
        <w:t>, som tjenstgöra der, skulle icke, enligt den redaktion, utskottet föreslagit, komma med bland de pensionsberättigade.</w:t>
        <w:br/>
        <w:br/>
        <w:t xml:space="preserve">Utskottet använder uttrycket »allmän sjukvårdsanstalt&gt;. Detta uttryck torde nog vara för trångt. Det skulle, enligt en tolkning, som jag har från fullt kompetent håll, medföra, att en </w:t>
      </w:r>
      <w:r>
        <w:rPr>
          <w:b/>
        </w:rPr>
        <w:t>sjuksköterska³</w:t>
      </w:r>
      <w:r>
        <w:rPr>
          <w:b w:val="0"/>
        </w:rPr>
        <w:t xml:space="preserve">, som är anstäld vid diakonissanstaltens vid Ersta sjukhus, eller till och med en BSofiasyster, som tjenstgör just vid hemmets eget sjukhus i Stockholm, icke skulle komma i åtnjutande af pensionsbidrag, enär dessa båda anstalter icke med säkerhet kunna sägas falla under uttrycket »allmän sjukvårdsanstalt». Genom samtal med ledamöter på den afdelning inom utskottet, som behandlat detta ärende, har jag mig bekant, att så ingalunda varit deras mening, utan att de afsett, att sådana slags anstalter, jag nu nämnde, äfven skulle falla under uttrycket allmänna sjukvårdsanstalter. För att undanrödja denna otydlighet, anser jag mig, herr talman, böra yrka, att första momentet bland vilkoren erhåller följande lydelse: att statsbidrag endast tillkommer teoretiskt och praktiskt utbildad </w:t>
      </w:r>
      <w:r>
        <w:rPr>
          <w:b/>
        </w:rPr>
        <w:t>sjuksköterska³</w:t>
      </w:r>
      <w:r>
        <w:rPr>
          <w:b w:val="0"/>
        </w:rPr>
        <w:t>, som är hos staten, landsting eller kommun eller å allmän sjukvårdsanstalt eller enskild stiftelse tillhörande sjukvårdsinrättning anstäld mot åtnjutande af lön eller rätt till ersättning enligt taxa och som tillika är delegare i någon för ifrågavarande ändamål inrättad pensionsanstalt, för hvilken Kongl. Maj:t faststält reglemente.</w:t>
        <w:br/>
        <w:br/>
        <w:t>Jag tillåter mig slutligen nämna, att enahanda yrkande framstälts i Första Kammaren, att detsamma understödts af ordföranden å den afdelning inom utskottet, som behandlat ärendet, och att denna ändring blifvit af kammaren godkänd.</w:t>
      </w:r>
    </w:p>
    <w:p>
      <w:pPr>
        <w:pStyle w:val="Heading2"/>
      </w:pPr>
      <w:r>
        <w:t>3. Oscar Erickson (–, man)</w:t>
      </w:r>
    </w:p>
    <w:p>
      <w:r>
        <w:rPr>
          <w:b w:val="0"/>
        </w:rPr>
        <w:t>I betraktande af hvad utskottet åsyftat med sitt förslag, skulle man kunna säga, att herr statsrådet och chefens för civildepartementet nu gjorda yrkande endast är ett förtydligande af hvad utskottet föreslagit. Hvem har nemligen kunnat tänka annat, än att en så stor sjukvårdsanstalt som t. ex. Sofiahemmet icke skulle kunna hänföras till »ailmän sjukvårdsanstalt»&gt;, och detta så mycket hellre, som denna anstalt särskildt är berörd i den kongl. propositionen, låt vara, att den kongl. propositionen har större räckvidd än utskottets förslag.</w:t>
        <w:br/>
        <w:br/>
        <w:t>Då emellertid herr statsrådet nu upplyst, att enskild stiftelse för sjukvård möjligen icke kan i förevarande fall hänföras till »allmän sjukvärdsanstalt», likaså ett och annat statssjukhus, torde herr statsrådets förslag äfven vara billigt och lämpligt, hvarför jag anhåller få yrka bifall till statsutskottets förslag med den förändring, som af herr statsrådet och chefen för civildepartementet blifvit ifrågasatt.</w:t>
      </w:r>
    </w:p>
    <w:p>
      <w:pPr>
        <w:pStyle w:val="Heading2"/>
      </w:pPr>
      <w:r>
        <w:t>4. Anders Gustaf Jönsson (Lantmannapartiet, man)</w:t>
      </w:r>
    </w:p>
    <w:p>
      <w:r>
        <w:rPr>
          <w:b w:val="0"/>
        </w:rPr>
        <w:t>Herr talman! Förevarande motioner äro väl de första i sitt slag, som kommit att aflemnas i svenska Riksdagen. De röra sig närmast om en ersättningsfråga, men det gäller ännu mera en principfråga, nemligen den principfrågan, om det är rätt, att lifstidsstraffångar, som blifvit benådade, skola få släppas ut på försök bland folket utan att staten har någon ansvarsskyldighet för deras förhållande.</w:t>
        <w:br/>
        <w:br/>
        <w:t>Det fins lagbestämmelser rörande husdjur, som visat sig vådliga. Egaren till ett sådant djur är icke ursäktad med, att han säger: »Jag har haft det kreaturet instängdt så och så många månader och det har visat sig fromt och beskedligt, och derför släpper jag ut det.» Kommer detta djur att föranleda någon skada, får nog egaren både betala ersättning och plikta. Och ingen tycker, att det ligger något obilligt i detta.</w:t>
        <w:br/>
        <w:br/>
        <w:t>Om vi nu tillämpa denna synpunkt på det förhållande, hvarom bär är fråga, skall väl hvar och en dock finna, att en fånge, som släppes ut, sedan han förut visat sig så samhällsvådlig, att han blifvit ådömd litstids straffarbete, han blottställer samhället för mycket större risk, än ett husdjur kan göra.</w:t>
        <w:br/>
        <w:br/>
        <w:t>Utskottet har med afseende på den föreslagna skadeersättningen till Sandberg icke sagt mycket. Det har dock icke ansett motionernas</w:t>
        <w:br/>
        <w:br/>
        <w:t>syfte alldeles obefogadt. Det säger — midt i stycket —: »Biand de skäl, som motionärerna i öfrigt åberopat, anser utskottet, att någon, ehuru, enligt utskottets mening, dock icke afgörande betydelse endast</w:t>
        <w:br/>
        <w:br/>
        <w:t>F. Sandberg. skulle möjligen kunna tillmätas den omständighet, att Sandberg till-</w:t>
        <w:br/>
        <w:br/>
        <w:t>fogats de ifrågavarande skadorna, under det han i egenskap aft tillsyningsman öfver försvarslösa personer varit i tjenstutöfning stadd.»</w:t>
        <w:br/>
        <w:br/>
        <w:t>Ja, utskottet har sett åtminstone en skymt af anledning att bevilja ersättning till Sandberg. Men så säger utskottet, att det är mer än 23 år, sedan våldet föröfvades. Om han kommit något förr med sin framställning, hade han således haft bättre utsigt att få ersättning. Men är det icke en fördel för staten — om vi nu skola se på den jemförelsevis obetydliga penningsumma, som här äskas — att icke frågan väcktes för 23 år sedan. I så fall hade ju, på grund af under tiden upplupna räntor, saken stält sig mycket kostsammare än nu. Och dessutom bör man lägga märke till, att det icke är så angenämt att hos Riksdagen göra framställningar sådana som denna.</w:t>
        <w:br/>
        <w:br/>
        <w:t>Vid den tiden — för 23 år sedan — var Sandberg i sin krafts dagar, och hans framtidsförhoppningar voro ljusa. Och då kan man icke förundra sig öfver, att han icke hade lust att komma till Riksdagen med en dylik fråga.</w:t>
        <w:br/>
        <w:br/>
        <w:t>Nu hafva förhållandena ändrat sig, och nu ser han sig tvungen att vända sig till Riksdagen. Och jag tror, att Riksdagen skulle visa sig både billig och human, om den biträdde motionerna.</w:t>
        <w:br/>
        <w:br/>
        <w:t>Sandberg tänkte, strax efter det han fått denna skada, att »tiden läker alla sår» — det är dessutom ett gammalt ordspråk. Men det gick nog saktare med denna läkning, än han trodde.</w:t>
        <w:br/>
        <w:br/>
        <w:t>Vid motionerna äro fogade en del intyg, af hvilka jag skall be att här få anföra följande.</w:t>
        <w:br/>
        <w:br/>
        <w:t xml:space="preserve">Kyrkoherde Rydeman i Kungsholms församling, som var kyrkoherde i Annerstads församling vid tiden för våldets föröfvande, skrifver, bland annat: »att hugget vid ögat icke kunde fullständigt läkas på öfver 20 års tid; att läkaren, som skötte Sandberg, till mig yttrade, ”att såren voro så svåra, att Sandberg hade sin ovanliga fysiska styrka och absoluta nykterhet att tacka för lifvet; att denna olycka för Sandbergs ekonomi hade ödesdigra följder, helst som han hade med sin </w:t>
      </w:r>
      <w:r>
        <w:rPr>
          <w:b/>
        </w:rPr>
        <w:t>hustru²</w:t>
      </w:r>
      <w:r>
        <w:rPr>
          <w:b w:val="0"/>
        </w:rPr>
        <w:t xml:space="preserve"> tjugo (20) barn.»</w:t>
        <w:br/>
        <w:br/>
        <w:t>Ja, detta kan vara något att i nykterhetens intresse bemärka. Jag skall emellertid icke vidare yttra mig om den saken. Men det talar godt för den absoluta nykterheten i alla fall.</w:t>
        <w:br/>
        <w:br/>
        <w:t>Vidare säger en läkare i sitt intyg, afgifvet under förra året: »På grund af ofvanstående får jag således intyga, att Sandberg, förutom den tidsförlust, som vållats honom i och för nämnda skadors och komplikationers läkning, äfven på grund af de, i följd af skadorna å armbågsregionen, tillkomna förändringarne i venstra handen, i den mån de kunnat vålla det, varit till arbetsförmåga nedsatt.»</w:t>
        <w:br/>
        <w:br/>
        <w:t>Frågan är nu: Skola vi med afslag å motionerna säga: Vi vilja aldrig vidare höra talas om någon statens skyldighet att svara för de vådliga handlingar och den skada, som frigifna fångar till äfventyrs kunna begå.</w:t>
        <w:br/>
        <w:br/>
        <w:t>Benådningsrätten vill väl ingen sätta sig emot. Hoppet är den Angående</w:t>
        <w:br/>
        <w:br/>
        <w:t>olyckliges sista tillflygt. Tager man bort det från fängelserna, har kare end man dermed visst icke bidragit till fångvårdens befrämjande. Således godsegaren</w:t>
        <w:br/>
        <w:br/>
        <w:t>måste benådningsrätten både finnas och tillämpas. Men det är statens F. Sandberg. skyldighet att ersätta, om de benådade göra någon skada. Det är (Forts) lättare för staten att göra detta än hvad det är för den enskilde att lida skada, helst af en sådan beskaffenhet, som här är i fråga.</w:t>
        <w:br/>
        <w:br/>
        <w:t>Jag tror, herr talman, att jag både i billighetens namn och med fästadt afseende på principen har alla skäl att yrka bifall till motionerna.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