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w:t>
      </w:r>
    </w:p>
    <w:p>
      <w:r>
        <w:rPr>
          <w:b/>
        </w:rPr>
        <w:t xml:space="preserve">Datum: </w:t>
      </w:r>
      <w:r>
        <w:t>1902-03-19</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Filip Boström (–, man)</w:t>
      </w:r>
    </w:p>
    <w:p>
      <w:r>
        <w:rPr>
          <w:b w:val="0"/>
        </w:rPr>
        <w:t>Herr grefve och talman! När jag genomläste lagutskottets utlåtande öfver föreliggande motion, blef jag ganska öfverraskad, enär den af motionärerna föreslagna lagändring i syfte att gifva gift qvinna samma valbarhet till ledamot i fattigvårdsstyrelse, som tillkommer qvinnor i öfrigt, synes mig hafva allt</w:t>
        <w:br/>
        <w:br/>
        <w:t>ning och uttalat såsom sin mening, att detta verksamhetsfält »i all-</w:t>
        <w:br/>
        <w:br/>
        <w:t>fattigvårdsmänhet icke särdeles väl lämpar sig för den gifta qvinnan och den</w:t>
        <w:br/>
        <w:br/>
      </w:r>
      <w:r>
        <w:rPr>
          <w:b/>
        </w:rPr>
        <w:t>henne²</w:t>
      </w:r>
      <w:r>
        <w:rPr>
          <w:b w:val="0"/>
        </w:rPr>
        <w:t xml:space="preserve"> i öfrigt tillerkända rättsställning.» Här är emellertid icke meningen, att gift qvinnas rätt att deltaga i fattigvårdsstyrelse skulle i alla möjliga fall komma till användning, utan här är ju blott meningen, att, om i ett särskildt fall en gift qvinna egnat sig åt enskild fattigvård utom fattigvårdsstyrelsen, man måtte, om sådant finnes önskligt, kunna bereda </w:t>
      </w:r>
      <w:r>
        <w:rPr>
          <w:b/>
        </w:rPr>
        <w:t>henne²</w:t>
      </w:r>
      <w:r>
        <w:rPr>
          <w:b w:val="0"/>
        </w:rPr>
        <w:t xml:space="preserve"> plats i fattigvårdsstyrelsen.</w:t>
        <w:br/>
        <w:br/>
        <w:t xml:space="preserve">Utskottet säger vidare, att ett ledamotskap i fattigvårdsstyrelse skulle icke låta sig förena med uppfyllelsen af gift qvinnas öfriga pligter. Det är en sak, synes det mig, som denna qvinna sjelf får afgöra, om </w:t>
      </w:r>
      <w:r>
        <w:rPr>
          <w:b/>
        </w:rPr>
        <w:t>hon²</w:t>
      </w:r>
      <w:r>
        <w:rPr>
          <w:b w:val="0"/>
        </w:rPr>
        <w:t xml:space="preserve"> kan, utan åsidosättande af sina pligter som </w:t>
      </w:r>
      <w:r>
        <w:rPr>
          <w:b/>
        </w:rPr>
        <w:t>maka³</w:t>
      </w:r>
      <w:r>
        <w:rPr>
          <w:b w:val="0"/>
        </w:rPr>
        <w:t xml:space="preserve"> och </w:t>
      </w:r>
      <w:r>
        <w:rPr>
          <w:b/>
        </w:rPr>
        <w:t>moder²</w:t>
      </w:r>
      <w:r>
        <w:rPr>
          <w:b w:val="0"/>
        </w:rPr>
        <w:t>, egna sig åt sådan verksamhet. Det förmynderskap, som lagutskottet här tagit sig, synes mig icke vara befogadt.</w:t>
        <w:br/>
        <w:br/>
        <w:t>Det säges vidare, att det för en gift qvinna skulle taga för mycken tid att deltaga i fattigvårdsstyrelses arbeten. För min del är jag dock öfvertygad, att den tid, som gift qvinna i många fall egnar åt enskild fattigvård, är vida större än den, som bör åtgå för deltagande i styrelsens förhandlingar. Jag tror sålunda ej heller detta skäl vara hållbart.</w:t>
        <w:br/>
        <w:br/>
        <w:t>Då nu emellertid reservanterna frångått motionärernas förslag om ep bestämd ändring af i ämnet gällande stadganden för att i stället påyrka en skrifvelse i saken till Kongl. Maj:t, synas mig alla skäl föreligga att bifalla reservanternas hemställan; och ber jag att derom få framställa yrkande.</w:t>
      </w:r>
    </w:p>
    <w:p>
      <w:pPr>
        <w:pStyle w:val="Heading2"/>
      </w:pPr>
      <w:r>
        <w:t>2. Svante Sandqvist (Första kammarens protektionistiska parti, man)</w:t>
      </w:r>
    </w:p>
    <w:p>
      <w:r>
        <w:rPr>
          <w:b w:val="0"/>
        </w:rPr>
        <w:t>Herr grefve och talman! Mina herrar! Såsom af både motionen och reservationen framgår, är här fråga om ett arbete i den sociala rörelses intresse, som afser att bereda qvinnan likställighet med mannen. Detta kan ju vara mycket bra, men om man tänker på den föreslagna förändringen, torde man vara på det klara med att denna icke är så synnerligen nödvändig. Den är icke begärd från kommunernas eller fattigvårdens sida. I gällande fattigvårdsförordning finnes redan föreskrifvet, att qvinnan kan inväljas i fattigvårdsstyrelse; och der förekommer ej ett enda ord, som visar, att gift qvinna skulle vara undantagen från valbarhet. Det vill således synas, som om felet ligger blott deri, att man ej begagnar de rättigheter, förordningen gifver; men detta innebär väl ej skäl att begära en lagändring.</w:t>
        <w:br/>
        <w:br/>
        <w:t xml:space="preserve">Här står i motionen, att den svenska lagstiftningens oklara innehåll rörande gift qvinnas rättsliga ställning föranledt, att man, i brist af ett uttryckligt stadgande, ej tilltrott sig att kunna tillerkänna </w:t>
      </w:r>
      <w:r>
        <w:rPr>
          <w:b/>
        </w:rPr>
        <w:t>henne²</w:t>
      </w:r>
      <w:r>
        <w:rPr>
          <w:b w:val="0"/>
        </w:rPr>
        <w:t xml:space="preserve"> valbarhet. Ja, det kan så vara; men den gifta qvinnans rättsliga ställning skall väl ej behandlas i fattigvårdsförordningen, utan hör hemma på ett helt annat område.</w:t>
        <w:br/>
        <w:br/>
        <w:t>Lagutskottet har framhållit åtskilliga olägenheter och oegent-</w:t>
        <w:br/>
        <w:br/>
        <w:t>ligheter, som skulle vara förbundna med gift qvinnas ledamotskap i Om gift qvinfattigvårdsstyrelse. Derutinnan kan jag emellertid ej instämma med 28 valbarhet</w:t>
        <w:br/>
        <w:br/>
        <w:t>ös . . öd - till ledamot i utskottet, det erkänner jag, ehuru jag underlåtit att reservera mig fattigvårdsmot utskottets motivering. Men det synes mig, som i allt fall till- ” styrelse. räckliga skäl tala för det slut, hvartill utskottet kommit; och ber — (Forts.) jag derför, för min ringa del, att få yrka bifall till utskottets hem-</w:t>
      </w:r>
    </w:p>
    <w:p>
      <w:pPr>
        <w:pStyle w:val="Heading2"/>
      </w:pPr>
      <w:r>
        <w:t>3. Philip Leman (Första kammarens minoritetsparti, man)</w:t>
      </w:r>
    </w:p>
    <w:p>
      <w:r>
        <w:rPr>
          <w:b w:val="0"/>
        </w:rPr>
        <w:t xml:space="preserve">Herr grefve och talman! Mina herrar! När Riksdagen år 1887 gjorde framställning hos Kongl. Maj:t om den ändring i fattigvårdsförordningen och kommunallagarne, att qvinna skulle få inväljas i fattigvårdsstyrelse och skolråd, motiverade Riksdagen sin framställning med följande ord: »Qvinnors inväljande i fattigvårdsstyrelse skulle kunna vara samhället till ganska väsentligt gagn. De göromål, som enligt fattigvårdsförordningen åligga fattigvårdsstyrelse, kräfva så mycken tid, att det ofta kan vara för den af andra värf upptagne mannen förenadt med ganska stor svårighet att på ett tillfredsställande sätt fullgöra desamma. Granskar man närmare beskaffenheten af dessa göromål, sådana de i $$ 12 och 13 af fattigvårdsförordningen finnas angifna, kan man ej undgå att erkänna, att qvinnan genom arten af sin begåfning och de sysselsättningar, åt hvilka </w:t>
      </w:r>
      <w:r>
        <w:rPr>
          <w:b/>
        </w:rPr>
        <w:t>hon²</w:t>
      </w:r>
      <w:r>
        <w:rPr>
          <w:b w:val="0"/>
        </w:rPr>
        <w:t xml:space="preserve"> i allmänhet egnar sig, är synnerligt väl lämpad för fullgörandet af åtminstone en del af antydda skyldigheter. I detta afseende må särskildt erinras om fattigvårdsstyrelsens förpligtelse att tillse, det barn, hvilkas underhåll åligger fattigvårdssamhället, erhålla vård och kristlig uppfostran. Äfven i öfrigt torde qvinnan i högre grad än mannen vara i besittning af den grannlagenhet och ömhet mot de nödstälda, som i väsentlig mån ökar värdet af meddelad hjelp och bidrager att hos den, som blir föremål derför, väcka och underhålla hågen att, så vidt i hans förmåga står, sjelf draga försorg för sig och de sina&gt;.</w:t>
        <w:br/>
        <w:br/>
        <w:t>För min del kan jag ingalunda bättre, än Riksdagen sålunda det gjort år 1887, motivera, hvarför goda skäl finnas, att qvinna bör kunna inväljas i fattigvårdsstyrelse. Nu råder emellertid hos somliga tvekan derom, huruvida äfven gift qvinna kan der inväljas. För min del är jag öfvertygad, att, enligt nu gällande lagstiftning, gift qvinna icke kan inväljas i sådan styrelse, och derför anser jag ock nödvändigt att härutinnan få till stånd en lagändring.</w:t>
        <w:br/>
        <w:br/>
        <w:t>Utskottet, som icke kunnat polemisera mot lämpligheten af nuvarande lagstadgande om qvinnas medlemskap i fattigvårdsstyrelse, har mot gift qvinnas inväljande i sådan styrelse anfört två skäl, det ena så att säga af mera moralisk, det andra af ekonomisk innebörd. Det förra skälet uttrycker utskottet i följande ord: »vid öfvervägande, huruvida det vore önskvärdt, att valbarheten i berörda afseende utsträcktes jemväl till gifta qvinnor, har utskottet ansett sig icke sakna grund för den uppfattningen, att, äfven om undantag finnas, ledamotskap i fattigvårdsstyrelse dock är ett verksamhetsfält,</w:t>
        <w:br/>
        <w:br/>
        <w:t xml:space="preserve">och den </w:t>
      </w:r>
      <w:r>
        <w:rPr>
          <w:b/>
        </w:rPr>
        <w:t>henne²</w:t>
      </w:r>
      <w:r>
        <w:rPr>
          <w:b w:val="0"/>
        </w:rPr>
        <w:t xml:space="preserve"> i öfrigt tillerkända rättsställning. De mångahanda</w:t>
        <w:br/>
        <w:br/>
        <w:t>fattigvårdsuppgifter, innefattande en ej oväsentlig del af den kommunala för-</w:t>
        <w:br/>
        <w:br/>
        <w:t xml:space="preserve">valtningen, hvilka tillhöra denna styrelse, lära endast jemförelsevis sällan på ett fullt lyckligt sätt låta sig förena med uppfyllelsen af andra pligter, hvilka i allt fall torde böra erkännas stå den gifta qvinnan närmare och vara af än större betydelse». Här synes det, som skulle utskottet vilja antyda, att den gifta qvinnan skulle ryckas från familjepligterna för att fylla kommunala pligter. Men, mina herrar, detta är väl dock ej så farligt. För en enka, som kanske sitter med 5—6 minderåriga barn, fins det ej något lagligt hinder att inväljas i fattigvårdsstyrelse; men deremot får man ej invälja en </w:t>
      </w:r>
      <w:r>
        <w:rPr>
          <w:b/>
        </w:rPr>
        <w:t>hustru²</w:t>
      </w:r>
      <w:r>
        <w:rPr>
          <w:b w:val="0"/>
        </w:rPr>
        <w:t xml:space="preserve">, som kanske icke har barn eller hvars barn redan äro fullvuxna, ehuru </w:t>
      </w:r>
      <w:r>
        <w:rPr>
          <w:b/>
        </w:rPr>
        <w:t>hon²</w:t>
      </w:r>
      <w:r>
        <w:rPr>
          <w:b w:val="0"/>
        </w:rPr>
        <w:t xml:space="preserve"> kanske genom sin erfarenhet vore allra lämpligast dertill. Jag vill dessutom redan nu fästa uppmärksamheten derå, att, om den begärda rätten att invälja gift qvinna erhölles, lagen väl ock liksom nu skulle komma att innehålla den bestämmelse, att </w:t>
      </w:r>
      <w:r>
        <w:rPr>
          <w:b/>
        </w:rPr>
        <w:t>hon²</w:t>
      </w:r>
      <w:r>
        <w:rPr>
          <w:b w:val="0"/>
        </w:rPr>
        <w:t xml:space="preserve"> egde rätt afsäga sig sådant uppdrag — gift qvinna skulle således aldrig kunna tvingas att gå in i fattigvårdsstyrelse.</w:t>
        <w:br/>
        <w:br/>
        <w:t>Ett faktum är, att det är ganska bildande för såväl män som qvinnor att vara ledamöter i en dylik styrelse, då detta, utom det goda man får tillfälle att göra i materielt hänseende, äfven medför en nyttig formel uppfostran.</w:t>
        <w:br/>
        <w:br/>
        <w:t xml:space="preserve">Jag hemställer derjemte till kammaren, om man verkligen genom förbud att invälja gift qvinna i fattigvårdsstyrelse skulle ens i ringaste mån skydda familjelifvet. Det fins ju tusentals andra omständigheter, som kunna draga qvinnan från familjelifvet, såsom nöjen, visiter och dylikt, det kan lagstiftningen ej hindra; men att </w:t>
      </w:r>
      <w:r>
        <w:rPr>
          <w:b/>
        </w:rPr>
        <w:t>hon²</w:t>
      </w:r>
      <w:r>
        <w:rPr>
          <w:b w:val="0"/>
        </w:rPr>
        <w:t xml:space="preserve"> skulle göra nytta i en fattigvårdsstyrelse, det måste lagstiftningen hindra, för att ej familjelifvet må störas.</w:t>
        <w:br/>
        <w:br/>
        <w:t xml:space="preserve">Det enda något så när befogade skäl, som kan anföras mot gift qvinnas valbarhet, är det ekonomiska, nemligen att, om </w:t>
      </w:r>
      <w:r>
        <w:rPr>
          <w:b/>
        </w:rPr>
        <w:t>hon²</w:t>
      </w:r>
      <w:r>
        <w:rPr>
          <w:b w:val="0"/>
        </w:rPr>
        <w:t xml:space="preserve"> väljes till ledamot i fattigvårdsstyrelse, </w:t>
      </w:r>
      <w:r>
        <w:rPr>
          <w:b/>
        </w:rPr>
        <w:t>hon²</w:t>
      </w:r>
      <w:r>
        <w:rPr>
          <w:b w:val="0"/>
        </w:rPr>
        <w:t xml:space="preserve"> har att med sina kolleger dela ansvaret för medelsförvaltningen. Men om skrifvelse här beslutes och Kongl. Maj:t sedan framlägger förslag i ämnet, lär det väl icke vara svårt att der inrycka en bestämmelse t. ex. af enahanda innehåll som i fråga om gift qvinnas rätt att idka handel, det vill säga, att </w:t>
      </w:r>
      <w:r>
        <w:rPr>
          <w:b/>
        </w:rPr>
        <w:t>hon²</w:t>
      </w:r>
      <w:r>
        <w:rPr>
          <w:b w:val="0"/>
        </w:rPr>
        <w:t xml:space="preserve"> ej finge åtaga sig uppdraget, med mindre mannen iklädde sig ansvar för de förbindelser, hvari </w:t>
      </w:r>
      <w:r>
        <w:rPr>
          <w:b/>
        </w:rPr>
        <w:t>hon²</w:t>
      </w:r>
      <w:r>
        <w:rPr>
          <w:b w:val="0"/>
        </w:rPr>
        <w:t xml:space="preserve"> kunde komma. Då blefve det ock visadt, att det vore med mannens vilja, </w:t>
      </w:r>
      <w:r>
        <w:rPr>
          <w:b/>
        </w:rPr>
        <w:t>hon²</w:t>
      </w:r>
      <w:r>
        <w:rPr>
          <w:b w:val="0"/>
        </w:rPr>
        <w:t xml:space="preserve"> inginge i styrelsen.</w:t>
        <w:br/>
        <w:br/>
        <w:t>Jag vill slutligen tillåta mig anföra ett exempel, som visar, huru långt formalismen kan gå. Staden Göteborg erhöll genom testamente ett ganska betydande belopp för att dermed upprätta ett barnhem. Nu finnes der ett sällskap, benämndt »Myrorna», hvars flesta styrelseledamöter äro gifta qvinnor. Detta sällskap hade redan förut upprättat ett litet barnhem, som alltid skötts utmärkt, och erbjöd</w:t>
        <w:br/>
        <w:br/>
        <w:t>sig nu att, utan kostnad för staden, utvidga detta, om de finge dispo- Om gift qvinnera öfver ränteafkastningen af testamentsmedlen. Men då reste sig Ar Land formalisterna och sade »nej»; de flesta styrelseledamöterna äro gifta fattigvårdsqvinnor, och om en förskingring skulle ske, hvem bär ansvaret? Nu ” styrelse. behöfver jag knappast säga, att dessa fruar tillhörde de ekonomiskt = (Forts.) mest vederhäftiga familjerna i staden. Nå väl, ehuru man insåg, huru fördelaktigt deras anbud var för staden, måste man säga: I kunnen icke få några medel i förskott, utan viljen I åtaga eder saken, så kunnen I först efter hvarje qvartal få betaldt för hvad derunder gjorts. Och dock hade dessa qvinnor visat sig på egen hand utmärkt sköta det af dem upprättade barnhemmet.</w:t>
        <w:br/>
        <w:br/>
        <w:t>Jag vill ej vidare uppehålla kammaren, utan slutar med att yrka bifall till reservationen.</w:t>
      </w:r>
    </w:p>
    <w:p>
      <w:pPr>
        <w:pStyle w:val="Heading2"/>
      </w:pPr>
      <w:r>
        <w:t>4. Edvard Herman Rodhe (–, man)</w:t>
      </w:r>
    </w:p>
    <w:p>
      <w:r>
        <w:rPr>
          <w:b w:val="0"/>
        </w:rPr>
        <w:t xml:space="preserve">Herr grefve och talman! Mina herrar! Jag tror icke, att det ligger så betydlig vigt på, huruvida denna motion bifalles eller icke; äfven om förslaget blir lag, tror jag, att det ytterst sällan kommer att inträffa, att en gift qvinna tages i anspråk för det värf, man här vill lägga i </w:t>
      </w:r>
      <w:r>
        <w:rPr>
          <w:b/>
        </w:rPr>
        <w:t>hennes²</w:t>
      </w:r>
      <w:r>
        <w:rPr>
          <w:b w:val="0"/>
        </w:rPr>
        <w:t xml:space="preserve"> händer. Jag vill ej heller bestrida, att fall kunna inträffa, då en gift qvinna kan vara mycket lämplig att öfvertaga ett sådant värf. Det oaktadt kan jag icke annat än biträda utskottets förslag, som synes mig synnerligen väl motiveradt. Ja, jag får bekänna, att jag känt mig särskildt tilltalad af utskottets motivering, som röjer i denna sak en så sund och sansad uppfattning, som man icke ofta finner. Det verkar välgörande att förnimma en röst, som uttalar en varning för den moderna sträfvan att vilja på alla områden likställa man och qvinna, en sträfvan, som ofta, utgående från en grundfalsk princip, gör sig skyldig till många betänkliga öfverdrifter i sin praxis. Bakom utskottets resonnement och yrkande synes ligga en prisvärd månhet att värna om hemmet och det äktenskapliga lifvets sedliga ordning, en månhet så mycket mera prisvärd, som de upplösande krafterna äro i våra dagar, särskildt å detta område, lifligt verksamma. Till att befästa den ordningen lär det icke bidraga, om åt den gifta qvinnan lemnas befogenhet att deltaga i offentliga värf, i hvilka mannen icke samtidigt skulle kunna deltaga. Något behof att öka qvinnans befogenhet i detta hänseende synes för öfrigt alldeles icke vara för handen, då på det enskilda området för driften att verka till fattiges gagn fullt tillräckligt utrymme torde vara </w:t>
      </w:r>
      <w:r>
        <w:rPr>
          <w:b/>
        </w:rPr>
        <w:t>henne²</w:t>
      </w:r>
      <w:r>
        <w:rPr>
          <w:b w:val="0"/>
        </w:rPr>
        <w:t xml:space="preserve"> lemnadt.</w:t>
        <w:br/>
        <w:br/>
        <w:t>På grund af hvad jag sålunda anfört, ber jag att få yrka bifall till lagutskottets hemställan.</w:t>
      </w:r>
    </w:p>
    <w:p>
      <w:pPr>
        <w:pStyle w:val="Heading2"/>
      </w:pPr>
      <w:r>
        <w:t>5. Oscar Bremberg (Första kammarens minoritetsparti, man)</w:t>
      </w:r>
    </w:p>
    <w:p>
      <w:r>
        <w:rPr>
          <w:b w:val="0"/>
        </w:rPr>
        <w:t>Herr grefve och talman! Mina herrar! Då ledamöterna i en fattigvårdsstyrelse ju gemensamt ansvara för omhänderhafda medel, skulle det, om t. ex. i en dylik styrelse sattes in fyra gifta qvinnor och endast en man, komma att inträffa, att man — då af gift qvinna icke kan utkräfvas något ansvar för upp-</w:t>
        <w:br/>
        <w:br/>
        <w:t xml:space="preserve">Om gift qvinbörden, så framt ej äfven </w:t>
      </w:r>
      <w:r>
        <w:rPr>
          <w:b/>
        </w:rPr>
        <w:t>hennes²</w:t>
      </w:r>
      <w:r>
        <w:rPr>
          <w:b w:val="0"/>
        </w:rPr>
        <w:t xml:space="preserve"> man iklädt sig ansvaret — hade</w:t>
        <w:br/>
        <w:br/>
        <w:t xml:space="preserve">endast en person, som vore ansvarig för dessa medel, i stället för fem. Sådant kan väl ej vara lämpligt. Och skulle man också, till förebyggande af denna olägenhet, tänka sig en lagändring, sådan som den herr Leman föreslog, att för gift qvinnas valbarhet skulle fordras, det mannen iklädde sig ansvaret, tror jag, att ej heller detta vore lämpligt. Derigenom skulle i åtskilliga fall männen råka illa ut; ty man kan väl ej tänka sig, att, om </w:t>
      </w:r>
      <w:r>
        <w:rPr>
          <w:b/>
        </w:rPr>
        <w:t>hustrun²</w:t>
      </w:r>
      <w:r>
        <w:rPr>
          <w:b w:val="0"/>
        </w:rPr>
        <w:t xml:space="preserve"> kommer och begär att få mottaga val till fattigvårdsstyrelse, mannen gerna skulle kunna säga nej — ty gör han det, blir helt säkert äktenskapsfriden förstörd, äfven om makarna förut lefvat i det bästa samförstånd. Hellre då ett lyckligt äktenskap än en qvinlig fattigvårdsstyrelse.</w:t>
        <w:br/>
        <w:br/>
        <w:t>För min del ber jag att få yrka bifall till utskottets hemställan.</w:t>
      </w:r>
    </w:p>
    <w:p>
      <w:pPr>
        <w:pStyle w:val="Heading2"/>
      </w:pPr>
      <w:r>
        <w:t>6. unknown (–, –)</w:t>
      </w:r>
    </w:p>
    <w:p>
      <w:r>
        <w:rPr>
          <w:b w:val="0"/>
        </w:rPr>
        <w:t xml:space="preserve">Herr grefve och talman! Mina herrar! Den ledamot af lagutskottet, som först uppträdde till försvar för utskottets förslag, förmenade, att framställningen i detta ämne hade utgått från dem, som ifra för qvinnoemancipationen, och alls icke hade sin grund i något kommunernas uttalade behof. Jag fäster mig här vid lag icke vid hvad de önska, som ifra för qvinnoemancipationen, det hör icke hit; men deremot vill jag påstå, att ropet på denna förändring utgått åtminstone från representanterna för den största kommunen i Sverige. Det är kändt, att i Stockholm qvinnor användas i fattigvårdsstyrelser; man har emellertid ej vågat gå derhän att insätta äfven gifta qvinnor i fattigvårdsstyrelser eller fattigvårdsnämnden, enär lagen i detta fall ej är fullt tydlig, men det är kändt, att der finnas gifta qvinnor, som skulle utomordentligt väl lämpa sig för arbete å detta område. Och jag vill fråga herrarne, om man ej genast från början kan taga för afgjordt, att inom dessa styrelser och nämnder föreligga mångahanda arbeten, som skulle särskildt väl lämpa sig för qvinnan. Det är ej blott män, som äro fattiga, utan lika ofta qvinnor; och i de flesta fall är det barn, om hvilkas vård man har att draga försorg. Höra icke dessa båda sistnämnda delar af fattigvården till dem, för hvilka qvinnan är mest lämpad? Och om man också kan tänka sig, att </w:t>
      </w:r>
      <w:r>
        <w:rPr>
          <w:b/>
        </w:rPr>
        <w:t>hon²</w:t>
      </w:r>
      <w:r>
        <w:rPr>
          <w:b w:val="0"/>
        </w:rPr>
        <w:t xml:space="preserve"> en och annan gång låter förleda sig att låta hjertat springa bort med förståndet, så sitta ju i styrelsen icke endast qvinnor, utan äfven män, som kunna afkyla de förras någon gång kanske litet för varma känsla.</w:t>
        <w:br/>
        <w:br/>
        <w:t xml:space="preserve">Det är af dessa skäl jag har den uppfattningen, att man ej bör försumma att bereda äfven gifta qvinnor tillträde till fattigvårdsstyrelse. Och hvad den saken beträffar, att gift qvinna icke skulle kunna ansvara för de utgifter, till hvilka </w:t>
      </w:r>
      <w:r>
        <w:rPr>
          <w:b/>
        </w:rPr>
        <w:t>hon²</w:t>
      </w:r>
      <w:r>
        <w:rPr>
          <w:b w:val="0"/>
        </w:rPr>
        <w:t xml:space="preserve"> kunde blifva förbunden, så vill jag säga, att om här vore fråga om att genast antaga en lag, innehållande en föreskrift om gift qvinnas valbarhet, utan vidare utredning, skulle jag möjligen draga i betänkande att</w:t>
        <w:br/>
        <w:br/>
        <w:t>bifalla ett dylikt förslag. Men derom är nu ej fråga, utan blott om Om gift qvinen skrifvelse till Kongl. Maj:t med anhållan, att Kongl. Maj:t ville 248 palbarhet låta utarbeta och för Riksdagen framlägga förslag till ändrad lag- Jattigvårdestiftning i ämnet. Och då jag är öfvertygad, att Kongl. Maj:t kom- ” styrelse. mer att tillse, att sådana föreskrifter lemnas, att äfven gift qvinnas = (Forts.) ansvarighet på ett tillfredsställande sätt ordnas, ber jag att få yrka</w:t>
        <w:br/>
        <w:br/>
        <w:t>bifall till reservationen.</w:t>
      </w:r>
    </w:p>
    <w:p>
      <w:pPr>
        <w:pStyle w:val="Heading2"/>
      </w:pPr>
      <w:r>
        <w:t>7. Sigfrid Wieselgren (–, man)</w:t>
      </w:r>
    </w:p>
    <w:p>
      <w:r>
        <w:rPr>
          <w:b w:val="0"/>
        </w:rPr>
        <w:t>Herr grefve och talman! Jag är förekommen af den siste ärade talaren; men jag vill ännu starkare än han betona, att, enligt hvad ju är allmänt kändt, här i Stockholm finnes en stor, om jag så får säga, fattigvårdsinstitution, som bildats och underhålles af privata krafter och som räknar såsom ledande kraft — en gift qvinna. Jag tror, att man inför detta faktum bör finna paralyserad åtminstone den invändningen, att gifta qvinnor ej skulle »lämpa sig» för här ifrågavarande uppdrag.</w:t>
        <w:br/>
        <w:br/>
        <w:t>För min del står jag på den ståndpunkten, att jag icke anser, det lagen så bestämdt utesluter gift qvinna från den kommunala fattigvården. Det skulle hafva varit synnerligen intressant att se, huru lagskipningen skulle ställa sig till den frågan. Men då lagen i allt fall är dunkel, är det ju mycket vunnet, om man får frågan klar genom en i sjelfva lagen inryckt bestämmelse, så att saken ej längre kan omtvistas.</w:t>
        <w:br/>
        <w:br/>
        <w:t xml:space="preserve">Vidare ber jag att få påpeka, att, så länge qvinnobildningen i vårt land var bristfällig eller kanske rättare sagdt temligen obefintlig — så länge gick det väl an att betrakta qvinnan såsom olämplig för uppdrag, der något större mått af insigter, erfarenhet och förståndsskärpa kräfdes. Men i den mån qvinnobildningen utvecklas, kan denna gamla ståndpunkt ej bibehållas; man måste lemna den bildade qvinnan tillträde till de allmänna uppdrag, </w:t>
      </w:r>
      <w:r>
        <w:rPr>
          <w:b/>
        </w:rPr>
        <w:t>hon²</w:t>
      </w:r>
      <w:r>
        <w:rPr>
          <w:b w:val="0"/>
        </w:rPr>
        <w:t xml:space="preserve"> med sin rätt ofta ganska omfattande bildning är i stånd att på ett nöjaktigt sätt omhänderhafva. Och jag vågar i likhet med den siste ärade talaren uttala såsom en oemotsäglig sanning, att just på det område, vid hvilket vi nu fästa blicken, bör qvinnan ha särskilda betingelser att kunna verka och verka väl. För min del kan jag derför ej annat än ansluta mig till dem, som yrka bifall till reservationen.</w:t>
      </w:r>
    </w:p>
    <w:p>
      <w:pPr>
        <w:pStyle w:val="Heading2"/>
      </w:pPr>
      <w:r>
        <w:t>8. Raoul Hamilton (Frisinnade folkpartiet, man)</w:t>
      </w:r>
    </w:p>
    <w:p>
      <w:r>
        <w:rPr>
          <w:b w:val="0"/>
        </w:rPr>
        <w:t>Sedan jag begärde ordet, har jag blifvit i hufvudsak förekommen af de två senaste ärade talarne.</w:t>
        <w:br/>
        <w:br/>
        <w:t>Det händer ej sällan, att sedvänja går före lag, och detta synes mig vara fallet här. Då återstår för lagstiftaren endast att genom lagen stadfästa hvad som är det allmänna bruket. Jag föreställer mig, att i åtskilliga fattigvårdsstyrelser finnas gifta qvinnor, och att de, som valt in dem der, haft den uppfattningen, att de genom detta val icke begått något lagbrott. Men icke nog med att gifta qvinnor sitta i dessa styrelser: de sköta sig der på ett utmärkt sätt.</w:t>
        <w:br/>
        <w:br/>
        <w:t xml:space="preserve">Jag instämmer med den ärade talaren på göteborgsbänken deruti, att man icke i allt bör göra qvinnan likstäld med mannen; men då det gäller att sköta fattigvården, att hjelpa våra fattiga medmenniskor, så tror jag, att </w:t>
      </w:r>
      <w:r>
        <w:rPr>
          <w:b/>
        </w:rPr>
        <w:t>hon²</w:t>
      </w:r>
      <w:r>
        <w:rPr>
          <w:b w:val="0"/>
        </w:rPr>
        <w:t xml:space="preserve"> fullt ut kan intaga samma ställning som mannen.</w:t>
        <w:br/>
        <w:br/>
        <w:t>Herr talman! Jag ber att få yrka bifall till reservationen.</w:t>
      </w:r>
    </w:p>
    <w:p>
      <w:pPr>
        <w:pStyle w:val="Heading2"/>
      </w:pPr>
      <w:r>
        <w:t>9. Ernst Trygger (Första kammarens nationella parti, man)</w:t>
      </w:r>
    </w:p>
    <w:p>
      <w:r>
        <w:rPr>
          <w:b w:val="0"/>
        </w:rPr>
        <w:t>Herr talman, mina herrar! Icke heller jag har blifvit öfvertygad af lagutskottets motivering för ett fullständigt afstyrkande af den förevarande motionen, utan sympatiserar jag med reservanterna.</w:t>
        <w:br/>
        <w:br/>
        <w:t>Lagutskottet åberopar bland annat, att det icke skulle vara välbetänkt, med hänsyn till öfriga ledamöter, att låta en gift qvinna inväljas i en fattigvårdsstyrelse, enär den ekonomiska ansvarigheten för dessa öfriga ledamöter skulle blifva så mycket större på grund af den begränsade ansvarighet, som qvinnan enligt lag åligger. Denna argumentation kan jag icke fatta. Ty frånsedt att den ej gör skilnad mellan en ledamots af fattigvårdsstyrelse ekonomiska ansvarighet vid brott och i andra fall, — solidariskt eller gemensamt ansvar —- faller den derpå, att det vore lika farligt för de öfriga ledamöterna i fattigvårdsstyrelsen att der få in en man, som icke har några som helst ekonomiska resurser och som följaktligen icke vore i stånd att stå för hvad på honom kunde belöpa sig. När man icke har tagit hänsyn till denna fråga i senare fallet, kan jag således icke finna, att man behöfver göra det i det förra.</w:t>
        <w:br/>
        <w:br/>
        <w:t xml:space="preserve">För öfrigt är, enligt svensk lag, qvinnans rättsställning i ekonomiskt afseende icke alldeles sådan, som lagutskottet synes hafva angifvit. Man får nemligen skilja mellan förseelser, som kunna hänföras till brottslig gerning, och andra förseelser. I det förra fallet svarar </w:t>
      </w:r>
      <w:r>
        <w:rPr>
          <w:b/>
        </w:rPr>
        <w:t>hustrun²</w:t>
      </w:r>
      <w:r>
        <w:rPr>
          <w:b w:val="0"/>
        </w:rPr>
        <w:t xml:space="preserve"> med sin giftorätt och enskilda egendom precis på samma sätt som mannen; der finns alldeles icke någon skilnad. Det skulle således endast vara i fråssa om försummelser, hvilka icke kunna hänföras under begreppet brottslig handling, som qvinnans ansvarighet blefve mindre, i det att </w:t>
      </w:r>
      <w:r>
        <w:rPr>
          <w:b/>
        </w:rPr>
        <w:t>hon²</w:t>
      </w:r>
      <w:r>
        <w:rPr>
          <w:b w:val="0"/>
        </w:rPr>
        <w:t xml:space="preserve"> då icke skulle svara med annan egendom än den, hvaröfve. </w:t>
      </w:r>
      <w:r>
        <w:rPr>
          <w:b/>
        </w:rPr>
        <w:t>hon²</w:t>
      </w:r>
      <w:r>
        <w:rPr>
          <w:b w:val="0"/>
        </w:rPr>
        <w:t xml:space="preserve"> eger råda. Men jag är öfvertygad om att i de fall, då man inväljer gifta qvinnor i fattigvårdsstyrelser, valet träffar persone. med alldeles särskilda qvalifikationer. Följaktligen tror jag icke, att man behöfver vara så ängslig med afseende å den punkten;” huruvida den eventuella ansvarigheten i civilrättsligt afseende skulle kunna eller icke kunna af qvinnan utkräfvas. Men om frågan har någon större betydelse, kan jag icke finna annat, än att man skulle kunna utsträcka qvinnans civilrättsliga ansvarsfrihet i sådana fall, då </w:t>
      </w:r>
      <w:r>
        <w:rPr>
          <w:b/>
        </w:rPr>
        <w:t>hon²</w:t>
      </w:r>
      <w:r>
        <w:rPr>
          <w:b w:val="0"/>
        </w:rPr>
        <w:t xml:space="preserve"> fått offentligt uppdrag. Och om man deremot vill göra gällande, att lagstiftningen angående qvinnans rättsställning i förmögenhetsafseende är så ny, ber jag att</w:t>
        <w:br/>
        <w:br/>
        <w:t xml:space="preserve">få anmärka, att vi ingalunda sakna exempel på hurusom en lag, Om gift qvinsom det ena året blifvit antagen, redan det andra året blifvit ändrad; 177 valbarhet s z ö Fe 8 fö ill ledamot i och jag kan icke finna, att en lagändring i förevarande fall skulle fattigvårdsvara mera betänklig än eljest. styrelse. För öfrigt är jag viss om att qvinnor äro precis lika dugliga = (Forts.) som män att förvalta åtskilliga angelägenheter äfven af offentlig natur, och jag måste erkänna, att den gifta qvinnan synes mig vara alldeles särskildt qvalificerad för dessa saker. Jag tror, att </w:t>
      </w:r>
      <w:r>
        <w:rPr>
          <w:b/>
        </w:rPr>
        <w:t>hennes²</w:t>
      </w:r>
      <w:r>
        <w:rPr>
          <w:b w:val="0"/>
        </w:rPr>
        <w:t xml:space="preserve"> mognad, långt ifrån att vara mindre, tvärtom i allmänhet är större än den ogifta qvinnans. Nu kan man säga: har </w:t>
      </w:r>
      <w:r>
        <w:rPr>
          <w:b/>
        </w:rPr>
        <w:t>hon²</w:t>
      </w:r>
      <w:r>
        <w:rPr>
          <w:b w:val="0"/>
        </w:rPr>
        <w:t xml:space="preserve"> en barnskara att sköta, så är det bättre, att </w:t>
      </w:r>
      <w:r>
        <w:rPr>
          <w:b/>
        </w:rPr>
        <w:t>hon²</w:t>
      </w:r>
      <w:r>
        <w:rPr>
          <w:b w:val="0"/>
        </w:rPr>
        <w:t xml:space="preserve"> sitter hemma; detta synes vara lagutskottets uppfattning. Men man kan vara öfvertygad om att en qvinna, som har dylika bestyr, icke blir vald eller åtager sig åtminstone icke valet, i fall </w:t>
      </w:r>
      <w:r>
        <w:rPr>
          <w:b/>
        </w:rPr>
        <w:t>hon²</w:t>
      </w:r>
      <w:r>
        <w:rPr>
          <w:b w:val="0"/>
        </w:rPr>
        <w:t xml:space="preserve"> verkligen skulle blifva utsedd. Jag har heller aldrig sett, att man har en dylik omvårdnad om männen. Om vi betrakta särskildt det kommunala området, finna vi der personer, som sannerligen icke hafva någon tid att offra på skötandet af allmänna ärenden, men på hvilka man kastar det ena uppdraget efter det andra, utan hänsyn till att det vore mycket bättre för dem att sköta sina enskilda angelägenheter än att hafva så mycket att göra för det allmänna. Hvad qvinnorna åter beträffar, vill man för dem vara förmyndare; då heter det, att man skall skydda familjen o. s. v. Då jag sålunda för min del har den bestämda uppfattningen, att den gifta qvinnan skulle på ett fullt tillfredsställande sätt sköta ett uppdrag sådant som detta; då jag icke tror, att den nuvarande lagstiftningen angående gift qvinnas förmögenhetsförhållanden utgör något hinder för att tillerkänna </w:t>
      </w:r>
      <w:r>
        <w:rPr>
          <w:b/>
        </w:rPr>
        <w:t>henne²</w:t>
      </w:r>
      <w:r>
        <w:rPr>
          <w:b w:val="0"/>
        </w:rPr>
        <w:t xml:space="preserve"> tillträde till fattigvårdsstyrelse; och då jag vidare är öfvertygad om att, derest man vid ärendets slutliga pröfning skulle komma till det resultatet, att denna lagstiftning icke vore fullt tillfredsställande, man deri kan göra de jemkningar, som kunna erfordras; så ber jag, herr grefve och talman, att få yrka bifall till reservanternas förslag.</w:t>
      </w:r>
    </w:p>
    <w:p>
      <w:pPr>
        <w:pStyle w:val="Heading2"/>
      </w:pPr>
      <w:r>
        <w:t>10. Carl Nyström (Första kammarens protektionistiska parti, man)</w:t>
      </w:r>
    </w:p>
    <w:p>
      <w:r>
        <w:rPr>
          <w:b w:val="0"/>
        </w:rPr>
        <w:t xml:space="preserve">Herr talman! Här i dag hafva allehanda uttryck fälts om sträfvandet att vinna likställighet för qvinnan i förhållande till mannen. Samma uttryck, samma skäl, samma resonnement har man mycket ofta här hört, då denna fråga debatterats; och dervid tyckes man i allmänhet fästa det bibegreppet, att det är fråga om något slags utmärkelse eller befordran för qvinnan, då </w:t>
      </w:r>
      <w:r>
        <w:rPr>
          <w:b/>
        </w:rPr>
        <w:t>hon²</w:t>
      </w:r>
      <w:r>
        <w:rPr>
          <w:b w:val="0"/>
        </w:rPr>
        <w:t xml:space="preserve"> skulle vinna denna likställighet. Jag är icke så alldeles säker på att icke denna befordran och denna utmärkelse skulle mest ligga på den andra sidan. Men dermed må nu vara huru som helst.</w:t>
        <w:br/>
        <w:br/>
        <w:t>I det fall, som nu debatteras, hafva vi åtminstone här i Stockholm en särskild erfarenhet. Saken är sagd med ett enda ord, en enda term: skyddsfruar, i namnet ligger karakteristiken. I församlingarna hafva de sin verksamhet, dessa skyddsfruar; det är</w:t>
        <w:br/>
        <w:br/>
        <w:t>fattiga barn, och som göra det med största nit och största omsorg. Nå väl, kan man tänka sig någon bättre förberedelse för inträde i fattigvårdsstyrelser och nämnder eller ett bättre betyg för duglighet i detta afseende, än som ligger i dessa skyddsfruars verksamhet? Af denna anledning och med anslutning för öfrigt till hvad friherre Tamm yttrat, ber jag att få göra samma yrkande som han.</w:t>
      </w:r>
    </w:p>
    <w:p>
      <w:pPr>
        <w:pStyle w:val="Heading2"/>
      </w:pPr>
      <w:r>
        <w:t>11. Svante Sandqvist (Första kammarens protektionistiska parti, man)</w:t>
      </w:r>
    </w:p>
    <w:p>
      <w:r>
        <w:rPr>
          <w:b w:val="0"/>
        </w:rPr>
        <w:t>Herr vice talman! Det torde kanske böra gent emot en föregående ärad talare erinras, att fattigvårdsförordningen i detta afesende icke gäller Stockholm. Afven om en bestämmelse i den rigtning, som här yrkats, blefve införd, skulle Stockholms stad icke hafva någon nytta af denna förändring. Om jag icke är alltför origtigt underrättad, regleras dessa förhållanden i Stockholm — under den särskilda förordning, som gäller rörande kommunalstyrelse i Stockholm — af en administrativ författning, innehållande bland annat, att qvinnor skola, för att kunna väljas till ledamöter af fattigvårdsstyrelse i Stockholm, vara valberättigade i kommunen. Det fordras icke för landsorten.</w:t>
        <w:br/>
        <w:br/>
        <w:t>Då jag fortfarande, herr vice talman, är öfvertygad om att de nuvarande bestämmelserna icke lägga hinder i vägen för inväljande af gifta qvinnor i fattigvårdsstyrelserna — ty om den saken vet man i sjelfva verket ingenting; den har icke varit underkastad myndighets pröfning — skall jag be att få vidhålla det yrkande, som jag förut framstält, eller om bifall till lagutskottets betänkande.</w:t>
      </w:r>
    </w:p>
    <w:p>
      <w:pPr>
        <w:pStyle w:val="Heading2"/>
      </w:pPr>
      <w:r>
        <w:t>12. Cornelius Sjöcrona (Första kammarens protektionistiska parti, man)</w:t>
      </w:r>
    </w:p>
    <w:p>
      <w:r>
        <w:rPr>
          <w:b w:val="0"/>
        </w:rPr>
        <w:t xml:space="preserve">Herr talman, mina herrar! Då flere ledamöter af denna kammare med värme yttrat sig och talat om qvinnans lämplighet för det här ifrågasatta uppdraget, så skall jag tillåta mig erinra derom, att detta enligt mitt förmenande varit ganska öfverflödigt. Ty här finnes nog icke i denna kammare någon enda ledamot, som ej af fullt hjerta erkänner detta; åtminstone är det förhållandet med mig. Jag har, då frågan om den nu gällande lagstiftningen, hvilken tillerkänner qvinna rätt att inväljas i särskilda fattigvårdsstyrelser, förevar i denna kammare, yttrat mig och röstat för bifall till den af Kongl. Maj:t afgifoa propositionen. Lagutskottets här afgifoa afstyrkande utlåtande grundar sig icke heller derpå, att lagutskottet vill förneka, att icke en gift qvinna kan vara fullt lika lämplig som en ogift — jag vågar nästan, med instämmande i hvad förut derom är yttradt, säga, att </w:t>
      </w:r>
      <w:r>
        <w:rPr>
          <w:b/>
        </w:rPr>
        <w:t>hon²</w:t>
      </w:r>
      <w:r>
        <w:rPr>
          <w:b w:val="0"/>
        </w:rPr>
        <w:t xml:space="preserve"> i några fall kan vara mycket lämpligare — utan lagutskottet har grundat sitt afstyrkande blott på vissa betänkligheter i afseende å den ansvarighet, som den gifta qvinnan kunde ådraga sig under utöfningen af ett sådant uppdrag. Då nu emellertid dessa betänkligheter utan tvifvel kunna undanrödjas genom den utredning, som, enligt hvad här blifvit ifrågasatt, man skulle utbedja sig hos Kongl. Maj:t och hvilken, efter hvad professor Trygger antydt, också bör kunna ske, så skall jag, herr talman, till-</w:t>
        <w:br/>
        <w:br/>
        <w:t>låta mig att yrka bifall till det af reservanterna framlagda skrifvelse- Om gift qvin-</w:t>
      </w:r>
    </w:p>
    <w:p>
      <w:pPr>
        <w:pStyle w:val="Heading2"/>
      </w:pPr>
      <w:r>
        <w:t>13. Philip Leman (Första kammarens minoritetsparti, man)</w:t>
      </w:r>
    </w:p>
    <w:p>
      <w:r>
        <w:rPr>
          <w:b w:val="0"/>
        </w:rPr>
        <w:t>Blott några få ord med anledning af herr Sand- Foktegodads</w:t>
        <w:br/>
        <w:br/>
        <w:t>qvists senaste yttrande. Reservanterna hafva ingalunda förbisett, att (Forts.</w:t>
        <w:br/>
        <w:br/>
        <w:t>den nuvarande 15 8 af fattigvårdsförordningen icke är tillämplig på</w:t>
        <w:br/>
        <w:br/>
        <w:t>Stockholms stad, utan att för Stockholm gälla särskilda kommunal-</w:t>
        <w:br/>
        <w:br/>
        <w:t>föreskrifter; men just derför hafva reservanterna icke begärt specielt</w:t>
        <w:br/>
        <w:br/>
        <w:t>någon ändring i fattigvårdslagstiftningen, utan de hafva hemstält, att</w:t>
        <w:br/>
        <w:br/>
        <w:t>mot i fattigvårdsstyrelse». En sådan allmän hemställan inkluderar</w:t>
        <w:br/>
        <w:br/>
        <w:t>ju Stockholms stad såväl som landsorten. I den omständighet, som</w:t>
        <w:br/>
        <w:br/>
        <w:t>herr Sandqvist påpekat, kan man således icke hemta något skäl för</w:t>
        <w:br/>
        <w:br/>
        <w:t>att icke bifalla reservationen.</w:t>
      </w:r>
    </w:p>
    <w:p>
      <w:pPr>
        <w:pStyle w:val="Heading2"/>
      </w:pPr>
      <w:r>
        <w:t>14. Philip Leman (Första kammarens minoritetsparti, man)</w:t>
      </w:r>
    </w:p>
    <w:p>
      <w:r>
        <w:rPr>
          <w:b w:val="0"/>
        </w:rPr>
        <w:t>Herr vice talman, mina herrar! Jag var icke närvarande i utskottet, då denna fråga behandlades, men hade jag der närvarit, skulle jag hafva förenat mig med reservanterna, och detta af följande skäl.</w:t>
        <w:br/>
        <w:br/>
        <w:t>Jag anser, att den ändring, som är föreslagen, är i enlighet med hvad sunda förnuftet kräfver. De skäl, som lagutskottet anfört, synas mig deremot icke fullt bindande. MHufvudskälet, att alla de stadganden, som röra skilsmessa, äro under bearbetning, synes mig icke böra verka derhän, att man uppskjuter denna lilla fråga. Ty hvad angår den ytterst svårlösta frågan om skilsmessa, torde det kanske komma att förgå decennier, innan förslaget hinner framläggas och blir af Riksdagen accepteradt. Har man alltså den åsigten, att något kan vinnas med det af motionären framstälda förslaget, synes mig detta kunna antagas, utan att man behöfver afvakta utgången af den stora frågan om skilsmessolagstiftningen.</w:t>
        <w:br/>
        <w:br/>
        <w:t xml:space="preserve">Ser man på 1734 års lag, är det alldeles naturligt, att vid denna tid — med den underordnade ställning, som qvinnan intog i förhållande till mannen, hvilken äfven var </w:t>
      </w:r>
      <w:r>
        <w:rPr>
          <w:b/>
        </w:rPr>
        <w:t>hennes²</w:t>
      </w:r>
      <w:r>
        <w:rPr>
          <w:b w:val="0"/>
        </w:rPr>
        <w:t xml:space="preserve"> målsman på det ekonomiska området — lagen skulle öfverallt, då divergenser mellan man och qvinna kommo i fråga, ställa sig på mannens sida. Numera är detta icke förhållandet, och fall kunna förekomma, då båda kontrahenterna, fastän de sins emellan hafva stridiga åsigter, äro fullt hederliga och fullt lämpliga att uppfostra barnen. Jag tänker mig blott det icke så sällan förekommande fallet, att i äktenskapet finnas både gossar och </w:t>
      </w:r>
      <w:r>
        <w:rPr>
          <w:b/>
        </w:rPr>
        <w:t>flickor²</w:t>
      </w:r>
      <w:r>
        <w:rPr>
          <w:b w:val="0"/>
        </w:rPr>
        <w:t xml:space="preserve">. Man kan då mycket väl tänka sig, att det skulle kunna vara lämpligt, att mannen behölle gossarne och uppfostrade dem samt att </w:t>
      </w:r>
      <w:r>
        <w:rPr>
          <w:b/>
        </w:rPr>
        <w:t>hustrun²</w:t>
      </w:r>
      <w:r>
        <w:rPr>
          <w:b w:val="0"/>
        </w:rPr>
        <w:t xml:space="preserve"> behölle </w:t>
      </w:r>
      <w:r>
        <w:rPr>
          <w:b/>
        </w:rPr>
        <w:t>flickorna²</w:t>
      </w:r>
      <w:r>
        <w:rPr>
          <w:b w:val="0"/>
        </w:rPr>
        <w:t xml:space="preserve"> och uppfostrade dessa. Såsom lagen nu föreskrifver, måste deremot domaren, äfven om han vore säker på att en dylik fördelning vore lämplig, låta mannen uppfostra alla barnen. Det är ju dock naturligt, att en qvinna skall bättre än en man kunna uppfostra </w:t>
      </w:r>
      <w:r>
        <w:rPr>
          <w:b/>
        </w:rPr>
        <w:t>flickor²</w:t>
      </w:r>
      <w:r>
        <w:rPr>
          <w:b w:val="0"/>
        </w:rPr>
        <w:t>.</w:t>
        <w:br/>
        <w:br/>
        <w:t xml:space="preserve">Då nu denna framställning endast afser, att, i stället för att lagen nu absolut tillerkänner mannen en företrädesrättighet, det skall öfverlåtas åt domaren att skilja mellan man och </w:t>
      </w:r>
      <w:r>
        <w:rPr>
          <w:b/>
        </w:rPr>
        <w:t>hustru²</w:t>
      </w:r>
      <w:r>
        <w:rPr>
          <w:b w:val="0"/>
        </w:rPr>
        <w:t>, och då jag anser, att mycket fog finnes för detta yrkande, skall jag, äfven om jag icke har mycket hopp om att vinna framgång inom kammaren, anhålla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